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4" w:rsidRPr="0029546F" w:rsidRDefault="00332824" w:rsidP="0033282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Совет Агрызского муниципального района Республики Татарстан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 xml:space="preserve">РЕШЕНИЕ 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от ________202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29546F">
        <w:rPr>
          <w:rFonts w:ascii="Times New Roman" w:hAnsi="Times New Roman"/>
          <w:b/>
          <w:color w:val="000000"/>
          <w:sz w:val="28"/>
          <w:szCs w:val="28"/>
        </w:rPr>
        <w:t xml:space="preserve"> № _____</w:t>
      </w:r>
    </w:p>
    <w:p w:rsidR="00332824" w:rsidRDefault="00332824" w:rsidP="0033282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2824" w:rsidRDefault="00332824" w:rsidP="0032768A">
      <w:pPr>
        <w:ind w:right="2267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5685A" w:rsidRPr="006A101C" w:rsidRDefault="0085685A" w:rsidP="003638D6">
      <w:pPr>
        <w:ind w:right="4251" w:firstLine="0"/>
        <w:rPr>
          <w:rFonts w:ascii="Times New Roman" w:hAnsi="Times New Roman"/>
          <w:sz w:val="28"/>
          <w:szCs w:val="28"/>
        </w:rPr>
      </w:pPr>
      <w:r w:rsidRPr="00332824">
        <w:rPr>
          <w:rFonts w:ascii="Times New Roman" w:hAnsi="Times New Roman"/>
          <w:bCs/>
          <w:kern w:val="28"/>
          <w:sz w:val="28"/>
          <w:szCs w:val="28"/>
        </w:rPr>
        <w:t>Об утверждении Порядка предоставления иных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межбюджетных трансфертов из бюджета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муниципального образования «</w:t>
      </w:r>
      <w:r w:rsidR="001D04F8" w:rsidRPr="00332824">
        <w:rPr>
          <w:rFonts w:ascii="Times New Roman" w:hAnsi="Times New Roman"/>
          <w:bCs/>
          <w:kern w:val="28"/>
          <w:sz w:val="28"/>
          <w:szCs w:val="28"/>
        </w:rPr>
        <w:t>Агрызский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муниципальный район» бюджетам поселений, источником финансового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обеспечения которых являются иные межбюджетные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трансферты из бюджета Республики Татарстан </w:t>
      </w:r>
      <w:r w:rsidRPr="006A101C">
        <w:rPr>
          <w:rFonts w:ascii="Times New Roman" w:hAnsi="Times New Roman"/>
          <w:bCs/>
          <w:kern w:val="28"/>
          <w:sz w:val="28"/>
          <w:szCs w:val="28"/>
        </w:rPr>
        <w:t>на</w:t>
      </w:r>
      <w:r w:rsidR="00332824" w:rsidRPr="006A101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A101C" w:rsidRPr="006A101C">
        <w:rPr>
          <w:rFonts w:ascii="Times New Roman" w:hAnsi="Times New Roman"/>
          <w:sz w:val="28"/>
          <w:szCs w:val="28"/>
        </w:rPr>
        <w:t>приобретение контейнерной станции водоподготовки в целях водоснабжения населения</w:t>
      </w:r>
      <w:r w:rsidR="006A101C">
        <w:rPr>
          <w:rFonts w:ascii="Times New Roman" w:hAnsi="Times New Roman"/>
          <w:sz w:val="28"/>
          <w:szCs w:val="28"/>
        </w:rPr>
        <w:t xml:space="preserve"> поселения</w:t>
      </w:r>
    </w:p>
    <w:p w:rsidR="0085685A" w:rsidRPr="0032768A" w:rsidRDefault="0085685A" w:rsidP="0032768A">
      <w:pPr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5361E5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>В соответствии со статьей 142 Бюджетного кодекса Российской Федерации</w:t>
      </w:r>
      <w:r w:rsidR="005361E5">
        <w:rPr>
          <w:rFonts w:ascii="Times New Roman" w:hAnsi="Times New Roman"/>
          <w:bCs/>
          <w:sz w:val="28"/>
          <w:szCs w:val="28"/>
        </w:rPr>
        <w:t>,</w:t>
      </w:r>
      <w:r w:rsidRPr="0032768A">
        <w:rPr>
          <w:rFonts w:ascii="Times New Roman" w:hAnsi="Times New Roman"/>
          <w:bCs/>
          <w:sz w:val="28"/>
          <w:szCs w:val="28"/>
        </w:rPr>
        <w:t xml:space="preserve"> Совет </w:t>
      </w:r>
      <w:r w:rsidR="001D04F8">
        <w:rPr>
          <w:rFonts w:ascii="Times New Roman" w:hAnsi="Times New Roman"/>
          <w:bCs/>
          <w:sz w:val="28"/>
          <w:szCs w:val="28"/>
        </w:rPr>
        <w:t>Агрызского</w:t>
      </w:r>
      <w:r w:rsidRPr="0032768A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5361E5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32768A">
        <w:rPr>
          <w:rFonts w:ascii="Times New Roman" w:hAnsi="Times New Roman"/>
          <w:bCs/>
          <w:sz w:val="28"/>
          <w:szCs w:val="28"/>
        </w:rPr>
        <w:t xml:space="preserve"> РЕШИЛ:</w:t>
      </w:r>
    </w:p>
    <w:p w:rsidR="0085685A" w:rsidRPr="0032768A" w:rsidRDefault="0085685A" w:rsidP="0032768A">
      <w:pPr>
        <w:widowControl w:val="0"/>
        <w:tabs>
          <w:tab w:val="left" w:pos="10205"/>
        </w:tabs>
        <w:autoSpaceDE w:val="0"/>
        <w:autoSpaceDN w:val="0"/>
        <w:adjustRightInd w:val="0"/>
        <w:ind w:right="-1"/>
        <w:rPr>
          <w:rFonts w:ascii="Times New Roman" w:hAnsi="Times New Roman"/>
          <w:bCs/>
          <w:sz w:val="28"/>
          <w:szCs w:val="28"/>
        </w:rPr>
      </w:pPr>
    </w:p>
    <w:p w:rsidR="0085685A" w:rsidRPr="009648A4" w:rsidRDefault="0085685A" w:rsidP="009648A4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9648A4">
        <w:rPr>
          <w:rFonts w:ascii="Times New Roman" w:hAnsi="Times New Roman"/>
          <w:sz w:val="28"/>
          <w:szCs w:val="28"/>
        </w:rPr>
        <w:t>Утвердить прилагаемый Порядок предоставления иных межбюджетных трансфертов из бюджета муниципального образования «</w:t>
      </w:r>
      <w:r w:rsidR="001D04F8" w:rsidRPr="009648A4">
        <w:rPr>
          <w:rFonts w:ascii="Times New Roman" w:hAnsi="Times New Roman"/>
          <w:sz w:val="28"/>
          <w:szCs w:val="28"/>
        </w:rPr>
        <w:t>Агрызский</w:t>
      </w:r>
      <w:r w:rsidRPr="009648A4">
        <w:rPr>
          <w:rFonts w:ascii="Times New Roman" w:hAnsi="Times New Roman"/>
          <w:sz w:val="28"/>
          <w:szCs w:val="28"/>
        </w:rPr>
        <w:t xml:space="preserve"> муниципальный район» бюджетам поселений, источником финансового обеспечения которых являются иные межбюджетные трансферты из бюджета Республики Татарстан на </w:t>
      </w:r>
      <w:r w:rsidR="006C47DE" w:rsidRPr="006A101C">
        <w:rPr>
          <w:rFonts w:ascii="Times New Roman" w:hAnsi="Times New Roman"/>
          <w:sz w:val="28"/>
          <w:szCs w:val="28"/>
        </w:rPr>
        <w:t>приобретение контейнерной станции водоподготовки в целях водоснабжения населения</w:t>
      </w:r>
      <w:r w:rsidR="006C47DE">
        <w:rPr>
          <w:rFonts w:ascii="Times New Roman" w:hAnsi="Times New Roman"/>
          <w:sz w:val="28"/>
          <w:szCs w:val="28"/>
        </w:rPr>
        <w:t xml:space="preserve"> поселения</w:t>
      </w:r>
      <w:r w:rsidRPr="009648A4">
        <w:rPr>
          <w:rFonts w:ascii="Times New Roman" w:hAnsi="Times New Roman"/>
          <w:sz w:val="28"/>
          <w:szCs w:val="28"/>
        </w:rPr>
        <w:t>.</w:t>
      </w:r>
    </w:p>
    <w:p w:rsidR="009648A4" w:rsidRPr="009648A4" w:rsidRDefault="009648A4" w:rsidP="009648A4">
      <w:pPr>
        <w:pStyle w:val="a4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648A4">
        <w:rPr>
          <w:rFonts w:ascii="Times New Roman" w:hAnsi="Times New Roman"/>
          <w:color w:val="000000"/>
          <w:sz w:val="28"/>
          <w:szCs w:val="28"/>
        </w:rPr>
        <w:t>Настоящее решение опубликовать на официальном портале правовой информации Республики Татарстан (</w:t>
      </w:r>
      <w:hyperlink r:id="rId5" w:history="1">
        <w:r w:rsidRPr="009648A4">
          <w:rPr>
            <w:rStyle w:val="a3"/>
            <w:rFonts w:ascii="Times New Roman" w:hAnsi="Times New Roman"/>
            <w:color w:val="000000"/>
            <w:sz w:val="28"/>
            <w:szCs w:val="28"/>
          </w:rPr>
          <w:t>http://pravo.tatarstan.ru</w:t>
        </w:r>
      </w:hyperlink>
      <w:r w:rsidRPr="009648A4">
        <w:rPr>
          <w:rFonts w:ascii="Times New Roman" w:hAnsi="Times New Roman"/>
          <w:color w:val="000000"/>
          <w:sz w:val="28"/>
          <w:szCs w:val="28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6" w:history="1">
        <w:r w:rsidRPr="009648A4">
          <w:rPr>
            <w:rStyle w:val="a3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Pr="009648A4">
        <w:rPr>
          <w:rFonts w:ascii="Times New Roman" w:hAnsi="Times New Roman"/>
          <w:color w:val="000000"/>
          <w:sz w:val="28"/>
          <w:szCs w:val="28"/>
        </w:rPr>
        <w:t>) в информационно-телекоммуникационной сети «Интернет».</w:t>
      </w:r>
    </w:p>
    <w:p w:rsidR="009648A4" w:rsidRPr="009648A4" w:rsidRDefault="009648A4" w:rsidP="009648A4">
      <w:pPr>
        <w:pStyle w:val="a4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648A4">
        <w:rPr>
          <w:rFonts w:ascii="Times New Roman" w:hAnsi="Times New Roman"/>
          <w:sz w:val="28"/>
          <w:szCs w:val="28"/>
        </w:rPr>
        <w:t xml:space="preserve">Контроль исполнения настоящего решения возложить на постоянный комитет </w:t>
      </w:r>
      <w:r w:rsidRPr="009648A4">
        <w:rPr>
          <w:rFonts w:ascii="Times New Roman" w:eastAsia="Calibri" w:hAnsi="Times New Roman"/>
          <w:sz w:val="28"/>
          <w:szCs w:val="28"/>
        </w:rPr>
        <w:t xml:space="preserve">Совета Агрызского муниципального района Республики Татарстан </w:t>
      </w:r>
      <w:r w:rsidRPr="009648A4">
        <w:rPr>
          <w:rFonts w:ascii="Times New Roman" w:hAnsi="Times New Roman"/>
          <w:sz w:val="28"/>
          <w:szCs w:val="28"/>
        </w:rPr>
        <w:t xml:space="preserve">по бюджету, налогам и финансам. </w:t>
      </w:r>
    </w:p>
    <w:p w:rsidR="009648A4" w:rsidRPr="00DC497D" w:rsidRDefault="009648A4" w:rsidP="009648A4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rPr>
          <w:rFonts w:ascii="Times New Roman" w:hAnsi="Times New Roman"/>
          <w:sz w:val="28"/>
          <w:szCs w:val="28"/>
        </w:rPr>
      </w:pPr>
    </w:p>
    <w:p w:rsidR="009648A4" w:rsidRPr="00DC497D" w:rsidRDefault="009648A4" w:rsidP="009648A4">
      <w:pPr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97"/>
        <w:gridCol w:w="5459"/>
      </w:tblGrid>
      <w:tr w:rsidR="009648A4" w:rsidRPr="00DC497D" w:rsidTr="00834850">
        <w:tc>
          <w:tcPr>
            <w:tcW w:w="4997" w:type="dxa"/>
            <w:shd w:val="clear" w:color="auto" w:fill="auto"/>
          </w:tcPr>
          <w:p w:rsidR="009648A4" w:rsidRPr="00DC497D" w:rsidRDefault="009648A4" w:rsidP="0083485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района,</w:t>
            </w:r>
          </w:p>
          <w:p w:rsidR="009648A4" w:rsidRPr="00DC497D" w:rsidRDefault="009648A4" w:rsidP="0083485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</w:t>
            </w:r>
          </w:p>
        </w:tc>
        <w:tc>
          <w:tcPr>
            <w:tcW w:w="5459" w:type="dxa"/>
            <w:shd w:val="clear" w:color="auto" w:fill="auto"/>
          </w:tcPr>
          <w:p w:rsidR="009648A4" w:rsidRPr="00DC497D" w:rsidRDefault="009648A4" w:rsidP="00F70D5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48A4" w:rsidRPr="00DC497D" w:rsidRDefault="00834850" w:rsidP="00834850">
            <w:pPr>
              <w:ind w:right="6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648A4"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А.Р. Валеев </w:t>
            </w:r>
          </w:p>
        </w:tc>
      </w:tr>
    </w:tbl>
    <w:p w:rsidR="009648A4" w:rsidRPr="00FD4EFF" w:rsidRDefault="009648A4" w:rsidP="009648A4">
      <w:pPr>
        <w:rPr>
          <w:rFonts w:ascii="Times New Roman" w:hAnsi="Times New Roman"/>
          <w:b/>
          <w:sz w:val="28"/>
          <w:szCs w:val="28"/>
        </w:rPr>
      </w:pPr>
    </w:p>
    <w:p w:rsidR="009648A4" w:rsidRDefault="009648A4" w:rsidP="0032768A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5685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C47DE" w:rsidRDefault="006C47DE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7097" w:rsidRDefault="00DF7097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F7097" w:rsidRDefault="00DF7097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C47DE" w:rsidRDefault="006C47DE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A7DA8" w:rsidRDefault="00EA7DA8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 xml:space="preserve">к решению Совета </w:t>
      </w:r>
      <w:r w:rsidR="001D04F8">
        <w:rPr>
          <w:rFonts w:ascii="Times New Roman" w:hAnsi="Times New Roman"/>
          <w:bCs/>
          <w:sz w:val="28"/>
          <w:szCs w:val="28"/>
        </w:rPr>
        <w:t>Агрызского</w:t>
      </w:r>
      <w:r w:rsidRPr="0032768A">
        <w:rPr>
          <w:rFonts w:ascii="Times New Roman" w:hAnsi="Times New Roman"/>
          <w:bCs/>
          <w:sz w:val="28"/>
          <w:szCs w:val="28"/>
        </w:rPr>
        <w:t xml:space="preserve"> 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834850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 xml:space="preserve">от </w:t>
      </w:r>
      <w:r w:rsidR="00834850">
        <w:rPr>
          <w:rFonts w:ascii="Times New Roman" w:hAnsi="Times New Roman"/>
          <w:bCs/>
          <w:sz w:val="28"/>
          <w:szCs w:val="28"/>
        </w:rPr>
        <w:t>_______ 2021 № _____</w:t>
      </w:r>
    </w:p>
    <w:p w:rsidR="0085685A" w:rsidRPr="0032768A" w:rsidRDefault="0085685A" w:rsidP="0032768A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7088"/>
        <w:rPr>
          <w:rFonts w:ascii="Times New Roman" w:hAnsi="Times New Roman"/>
          <w:bCs/>
          <w:sz w:val="28"/>
          <w:szCs w:val="28"/>
        </w:rPr>
      </w:pPr>
    </w:p>
    <w:p w:rsidR="0085685A" w:rsidRPr="0032768A" w:rsidRDefault="0085685A" w:rsidP="0032768A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7088"/>
        <w:rPr>
          <w:rFonts w:ascii="Times New Roman" w:hAnsi="Times New Roman"/>
          <w:bCs/>
          <w:sz w:val="28"/>
          <w:szCs w:val="28"/>
        </w:rPr>
      </w:pPr>
    </w:p>
    <w:p w:rsidR="00834850" w:rsidRPr="00321611" w:rsidRDefault="00834850" w:rsidP="0032161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1611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DF7097" w:rsidRPr="00321611" w:rsidRDefault="00834850" w:rsidP="0032161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1611">
        <w:rPr>
          <w:rFonts w:ascii="Times New Roman" w:hAnsi="Times New Roman"/>
          <w:b/>
          <w:sz w:val="28"/>
          <w:szCs w:val="28"/>
        </w:rPr>
        <w:t>предоставления иных межбюджетных трансфертов из бюджета муниципального образования «А</w:t>
      </w:r>
      <w:bookmarkStart w:id="0" w:name="_GoBack"/>
      <w:bookmarkEnd w:id="0"/>
      <w:r w:rsidRPr="00321611">
        <w:rPr>
          <w:rFonts w:ascii="Times New Roman" w:hAnsi="Times New Roman"/>
          <w:b/>
          <w:sz w:val="28"/>
          <w:szCs w:val="28"/>
        </w:rPr>
        <w:t xml:space="preserve">грызский муниципальный район» бюджетам поселений, источником финансового обеспечения которых являются иные межбюджетные трансферты из бюджета Республики Татарстан </w:t>
      </w:r>
    </w:p>
    <w:p w:rsidR="0085685A" w:rsidRPr="00321611" w:rsidRDefault="00DF7097" w:rsidP="0032161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1611">
        <w:rPr>
          <w:rFonts w:ascii="Times New Roman" w:hAnsi="Times New Roman"/>
          <w:b/>
          <w:sz w:val="28"/>
          <w:szCs w:val="28"/>
        </w:rPr>
        <w:t xml:space="preserve">на </w:t>
      </w:r>
      <w:r w:rsidRPr="00321611">
        <w:rPr>
          <w:rFonts w:ascii="Times New Roman" w:hAnsi="Times New Roman"/>
          <w:b/>
          <w:bCs/>
          <w:kern w:val="28"/>
          <w:sz w:val="28"/>
          <w:szCs w:val="28"/>
        </w:rPr>
        <w:t>приобретение</w:t>
      </w:r>
      <w:r w:rsidR="006C47DE" w:rsidRPr="00321611">
        <w:rPr>
          <w:rFonts w:ascii="Times New Roman" w:hAnsi="Times New Roman"/>
          <w:b/>
          <w:sz w:val="28"/>
          <w:szCs w:val="28"/>
        </w:rPr>
        <w:t xml:space="preserve"> контейнерной станции водоподготовки в целях водоснабжения населения поселения</w:t>
      </w:r>
    </w:p>
    <w:p w:rsidR="00834850" w:rsidRPr="0032768A" w:rsidRDefault="00834850" w:rsidP="003276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85685A" w:rsidRPr="0032768A" w:rsidRDefault="0085685A" w:rsidP="0032768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1. Настоящий порядок устанавливает цели, порядок и условия предоставления иных межбюджетных трансфертов из бюджета муниципального образования «</w:t>
      </w:r>
      <w:r w:rsidR="001D04F8">
        <w:rPr>
          <w:rFonts w:ascii="Times New Roman" w:hAnsi="Times New Roman"/>
          <w:sz w:val="28"/>
          <w:szCs w:val="28"/>
        </w:rPr>
        <w:t>Агрызский</w:t>
      </w:r>
      <w:r w:rsidRPr="0032768A">
        <w:rPr>
          <w:rFonts w:ascii="Times New Roman" w:hAnsi="Times New Roman"/>
          <w:sz w:val="28"/>
          <w:szCs w:val="28"/>
        </w:rPr>
        <w:t xml:space="preserve"> муниципальный район» бюджетам поселений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6C47DE" w:rsidRPr="006A101C">
        <w:rPr>
          <w:rFonts w:ascii="Times New Roman" w:hAnsi="Times New Roman"/>
          <w:bCs/>
          <w:kern w:val="28"/>
          <w:sz w:val="28"/>
          <w:szCs w:val="28"/>
        </w:rPr>
        <w:t xml:space="preserve">на </w:t>
      </w:r>
      <w:r w:rsidR="006C47DE" w:rsidRPr="006A101C">
        <w:rPr>
          <w:rFonts w:ascii="Times New Roman" w:hAnsi="Times New Roman"/>
          <w:sz w:val="28"/>
          <w:szCs w:val="28"/>
        </w:rPr>
        <w:t>приобретение контейнерной станции водоподготовки в целях водоснабжения населения</w:t>
      </w:r>
      <w:r w:rsidR="006C47DE">
        <w:rPr>
          <w:rFonts w:ascii="Times New Roman" w:hAnsi="Times New Roman"/>
          <w:sz w:val="28"/>
          <w:szCs w:val="28"/>
        </w:rPr>
        <w:t xml:space="preserve"> поселения</w:t>
      </w:r>
      <w:r w:rsidRPr="0032768A">
        <w:rPr>
          <w:rFonts w:ascii="Times New Roman" w:hAnsi="Times New Roman"/>
          <w:sz w:val="28"/>
          <w:szCs w:val="28"/>
        </w:rPr>
        <w:t xml:space="preserve"> (далее – иные межбюджетные трансферты).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2. Иные межбюджетные трансферты предоставляются бюджетам: </w:t>
      </w:r>
    </w:p>
    <w:p w:rsidR="0085685A" w:rsidRPr="0032768A" w:rsidRDefault="0085685A" w:rsidP="0023166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поселений </w:t>
      </w:r>
      <w:r w:rsidR="00132620" w:rsidRPr="006A101C">
        <w:rPr>
          <w:rFonts w:ascii="Times New Roman" w:hAnsi="Times New Roman"/>
          <w:bCs/>
          <w:kern w:val="28"/>
          <w:sz w:val="28"/>
          <w:szCs w:val="28"/>
        </w:rPr>
        <w:t xml:space="preserve">на </w:t>
      </w:r>
      <w:r w:rsidR="00132620" w:rsidRPr="006A101C">
        <w:rPr>
          <w:rFonts w:ascii="Times New Roman" w:hAnsi="Times New Roman"/>
          <w:sz w:val="28"/>
          <w:szCs w:val="28"/>
        </w:rPr>
        <w:t>приобретение контейнерной станции водоподготовки в целях водоснабжения населения</w:t>
      </w:r>
      <w:r w:rsidR="00132620">
        <w:rPr>
          <w:rFonts w:ascii="Times New Roman" w:hAnsi="Times New Roman"/>
          <w:sz w:val="28"/>
          <w:szCs w:val="28"/>
        </w:rPr>
        <w:t xml:space="preserve"> поселения</w:t>
      </w:r>
      <w:r w:rsidRPr="0032768A">
        <w:rPr>
          <w:rFonts w:ascii="Times New Roman" w:hAnsi="Times New Roman"/>
          <w:sz w:val="28"/>
          <w:szCs w:val="28"/>
        </w:rPr>
        <w:t xml:space="preserve">.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3.</w:t>
      </w:r>
      <w:r w:rsidR="0023166A"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пределах объема бюджетных ассигнований, предусмотренных на указанные цели в решении Совета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бюджете муниципального образования «</w:t>
      </w:r>
      <w:r w:rsidR="001D04F8">
        <w:rPr>
          <w:rFonts w:ascii="Times New Roman" w:hAnsi="Times New Roman"/>
          <w:sz w:val="28"/>
          <w:szCs w:val="28"/>
        </w:rPr>
        <w:t>Агрызский</w:t>
      </w:r>
      <w:r w:rsidRPr="0032768A">
        <w:rPr>
          <w:rFonts w:ascii="Times New Roman" w:hAnsi="Times New Roman"/>
          <w:sz w:val="28"/>
          <w:szCs w:val="28"/>
        </w:rPr>
        <w:t xml:space="preserve"> муниципальный район» на соответствующий финансовый год и на плановый период.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4. Главным распорядителем бюджетных ассигнований, предоставляемых в соответствии с настоящим Порядком, является Исполнительный комитет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(далее – Исполнительный комитет).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5. Распределение иных межбюджетных трансфертов между бюджетами поселений утверждается нормативным правовым актом Исполнительного комитета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6. Условиями предоставления иных межбюджетных трансфертов бюджетам поселений являются:</w:t>
      </w:r>
    </w:p>
    <w:p w:rsidR="0085685A" w:rsidRPr="0032768A" w:rsidRDefault="0085685A" w:rsidP="00AA49C4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наличие распоряжения </w:t>
      </w:r>
      <w:r w:rsidR="0023166A">
        <w:rPr>
          <w:rFonts w:ascii="Times New Roman" w:hAnsi="Times New Roman"/>
          <w:sz w:val="28"/>
          <w:szCs w:val="28"/>
        </w:rPr>
        <w:t>И</w:t>
      </w:r>
      <w:r w:rsidRPr="0032768A">
        <w:rPr>
          <w:rFonts w:ascii="Times New Roman" w:hAnsi="Times New Roman"/>
          <w:sz w:val="28"/>
          <w:szCs w:val="28"/>
        </w:rPr>
        <w:t>сполнительн</w:t>
      </w:r>
      <w:r w:rsidR="008A72BA">
        <w:rPr>
          <w:rFonts w:ascii="Times New Roman" w:hAnsi="Times New Roman"/>
          <w:sz w:val="28"/>
          <w:szCs w:val="28"/>
        </w:rPr>
        <w:t>ых комитетов</w:t>
      </w:r>
      <w:r w:rsidRPr="0032768A">
        <w:rPr>
          <w:rFonts w:ascii="Times New Roman" w:hAnsi="Times New Roman"/>
          <w:sz w:val="28"/>
          <w:szCs w:val="28"/>
        </w:rPr>
        <w:t xml:space="preserve"> поселений об утверждении перечня </w:t>
      </w:r>
      <w:r w:rsidR="00AA49C4">
        <w:rPr>
          <w:rFonts w:ascii="Times New Roman" w:hAnsi="Times New Roman"/>
          <w:sz w:val="28"/>
          <w:szCs w:val="28"/>
        </w:rPr>
        <w:t xml:space="preserve">населенных пунктов поселения, которым осуществляется выплата </w:t>
      </w:r>
      <w:r w:rsidR="00132620" w:rsidRPr="006A101C">
        <w:rPr>
          <w:rFonts w:ascii="Times New Roman" w:hAnsi="Times New Roman"/>
          <w:bCs/>
          <w:kern w:val="28"/>
          <w:sz w:val="28"/>
          <w:szCs w:val="28"/>
        </w:rPr>
        <w:t xml:space="preserve">на </w:t>
      </w:r>
      <w:r w:rsidR="00132620" w:rsidRPr="006A101C">
        <w:rPr>
          <w:rFonts w:ascii="Times New Roman" w:hAnsi="Times New Roman"/>
          <w:sz w:val="28"/>
          <w:szCs w:val="28"/>
        </w:rPr>
        <w:t>приобретение контейнерной станции водоподготовки в целях водоснабжения населения</w:t>
      </w:r>
      <w:r w:rsidR="00132620">
        <w:rPr>
          <w:rFonts w:ascii="Times New Roman" w:hAnsi="Times New Roman"/>
          <w:sz w:val="28"/>
          <w:szCs w:val="28"/>
        </w:rPr>
        <w:t xml:space="preserve"> поселения</w:t>
      </w:r>
      <w:r w:rsidR="00AA49C4"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>за счет средств бюджета Республики Татарстан;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наличие принятого в установленном порядке муниципального правового акта поселения, определяющего расходные обязательства по выплате </w:t>
      </w:r>
      <w:r w:rsidR="00AA49C4" w:rsidRPr="006A101C">
        <w:rPr>
          <w:rFonts w:ascii="Times New Roman" w:hAnsi="Times New Roman"/>
          <w:bCs/>
          <w:kern w:val="28"/>
          <w:sz w:val="28"/>
          <w:szCs w:val="28"/>
        </w:rPr>
        <w:t xml:space="preserve">на </w:t>
      </w:r>
      <w:r w:rsidR="00AA49C4" w:rsidRPr="006A101C">
        <w:rPr>
          <w:rFonts w:ascii="Times New Roman" w:hAnsi="Times New Roman"/>
          <w:sz w:val="28"/>
          <w:szCs w:val="28"/>
        </w:rPr>
        <w:t xml:space="preserve">приобретение контейнерной станции водоподготовки в целях водоснабжения </w:t>
      </w:r>
      <w:r w:rsidR="00E63C42" w:rsidRPr="006A101C">
        <w:rPr>
          <w:rFonts w:ascii="Times New Roman" w:hAnsi="Times New Roman"/>
          <w:sz w:val="28"/>
          <w:szCs w:val="28"/>
        </w:rPr>
        <w:t>населения</w:t>
      </w:r>
      <w:r w:rsidR="00E63C42">
        <w:rPr>
          <w:rFonts w:ascii="Times New Roman" w:hAnsi="Times New Roman"/>
          <w:sz w:val="28"/>
          <w:szCs w:val="28"/>
        </w:rPr>
        <w:t xml:space="preserve"> поселения</w:t>
      </w:r>
      <w:r w:rsidR="00AA49C4">
        <w:rPr>
          <w:rFonts w:ascii="Times New Roman" w:hAnsi="Times New Roman"/>
          <w:sz w:val="28"/>
          <w:szCs w:val="28"/>
        </w:rPr>
        <w:t xml:space="preserve"> </w:t>
      </w:r>
      <w:r w:rsidR="00AA49C4" w:rsidRPr="0032768A">
        <w:rPr>
          <w:rFonts w:ascii="Times New Roman" w:hAnsi="Times New Roman"/>
          <w:sz w:val="28"/>
          <w:szCs w:val="28"/>
        </w:rPr>
        <w:t>за счет средств бюджета Республики Татарстан</w:t>
      </w:r>
      <w:r w:rsidRPr="0032768A">
        <w:rPr>
          <w:rFonts w:ascii="Times New Roman" w:hAnsi="Times New Roman"/>
          <w:sz w:val="28"/>
          <w:szCs w:val="28"/>
        </w:rPr>
        <w:t>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отсутствие задолженности по налогам, сборам и иным платежам в бюджеты бюджетной системы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lastRenderedPageBreak/>
        <w:t xml:space="preserve">7. Показателем результативности использования иных межбюджетных трансфертов является количество </w:t>
      </w:r>
      <w:r w:rsidR="00C228FD" w:rsidRPr="006A101C">
        <w:rPr>
          <w:rFonts w:ascii="Times New Roman" w:hAnsi="Times New Roman"/>
          <w:sz w:val="28"/>
          <w:szCs w:val="28"/>
        </w:rPr>
        <w:t>приобретен</w:t>
      </w:r>
      <w:r w:rsidR="00E655B6">
        <w:rPr>
          <w:rFonts w:ascii="Times New Roman" w:hAnsi="Times New Roman"/>
          <w:sz w:val="28"/>
          <w:szCs w:val="28"/>
        </w:rPr>
        <w:t xml:space="preserve">ных </w:t>
      </w:r>
      <w:r w:rsidR="00C228FD" w:rsidRPr="006A101C">
        <w:rPr>
          <w:rFonts w:ascii="Times New Roman" w:hAnsi="Times New Roman"/>
          <w:sz w:val="28"/>
          <w:szCs w:val="28"/>
        </w:rPr>
        <w:t>контейнерн</w:t>
      </w:r>
      <w:r w:rsidR="00E655B6">
        <w:rPr>
          <w:rFonts w:ascii="Times New Roman" w:hAnsi="Times New Roman"/>
          <w:sz w:val="28"/>
          <w:szCs w:val="28"/>
        </w:rPr>
        <w:t>ых</w:t>
      </w:r>
      <w:r w:rsidR="00C228FD" w:rsidRPr="006A101C">
        <w:rPr>
          <w:rFonts w:ascii="Times New Roman" w:hAnsi="Times New Roman"/>
          <w:sz w:val="28"/>
          <w:szCs w:val="28"/>
        </w:rPr>
        <w:t xml:space="preserve"> станци</w:t>
      </w:r>
      <w:r w:rsidR="00E655B6">
        <w:rPr>
          <w:rFonts w:ascii="Times New Roman" w:hAnsi="Times New Roman"/>
          <w:sz w:val="28"/>
          <w:szCs w:val="28"/>
        </w:rPr>
        <w:t>й</w:t>
      </w:r>
      <w:r w:rsidR="00C228FD" w:rsidRPr="006A101C">
        <w:rPr>
          <w:rFonts w:ascii="Times New Roman" w:hAnsi="Times New Roman"/>
          <w:sz w:val="28"/>
          <w:szCs w:val="28"/>
        </w:rPr>
        <w:t xml:space="preserve"> водоподготовки в целях водоснабжения населения</w:t>
      </w:r>
      <w:r w:rsidR="00C228FD">
        <w:rPr>
          <w:rFonts w:ascii="Times New Roman" w:hAnsi="Times New Roman"/>
          <w:sz w:val="28"/>
          <w:szCs w:val="28"/>
        </w:rPr>
        <w:t xml:space="preserve"> поселения</w:t>
      </w:r>
      <w:r w:rsidR="00E655B6">
        <w:rPr>
          <w:rFonts w:ascii="Times New Roman" w:hAnsi="Times New Roman"/>
          <w:sz w:val="28"/>
          <w:szCs w:val="28"/>
        </w:rPr>
        <w:t>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8. Иные межбюджетные трансферты предоставляются на основании                      соглашения, заключаемого между Исполнительным комитетом и поселениями в соответствии с формой, утвержденной Финансово-бюджетной палатой.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9. В Соглашении предусматриваются: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размер иных межбюджетных трансфертов, их целевое назначение;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значения показателей результативности использования иных межбюджетных трансфертов;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порядок перечисления иных межбюджетных трансфертов;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сроки и формы представления отчетности об использовании иных межбюджетных трансфертов и достижении показателей результативности использования иных межбюджетных трансфертов; 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последствия </w:t>
      </w:r>
      <w:proofErr w:type="spellStart"/>
      <w:r w:rsidRPr="003276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2768A">
        <w:rPr>
          <w:rFonts w:ascii="Times New Roman" w:hAnsi="Times New Roman"/>
          <w:sz w:val="28"/>
          <w:szCs w:val="28"/>
        </w:rPr>
        <w:t xml:space="preserve"> получателем иных межбюджетных трансфертов установленного показателя результативности использования иного межбюджетного трансферта;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порядок осуществления контроля за соблюдением получателем иных межбюджетных трансфертов обязательств, предусмотренных Соглашением;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ответственность сторон за нарушение условий Соглашения.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10. Иные межбюджетные трансферты перечисляются Исполнительным комитетом бюджетам поселений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11. Поселения представляют в Исполнительный комитет отчет об использовании иных межбюджетных трансфертов и достижении показателей результативности использования иных межбюджетных трансфертов в сроки и по форме, предусмотренные Соглашением.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12. Не использованные по состоянию на 1 января текущего финансового года иные межбюджетные трансферты, полученные в соответствии с настоящим Порядком, подлежат возврату в доход бюджета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в соответствии с требованиями, установленными Бюджетным кодексом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13. Поселения и должностные лица несут в соответствии с законодательством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14. В случае нарушения условий предоставления иных межбюджетных трансфертов соответствующие средства подлежат перечислению в доход бюджета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в порядке, установленном бюджетным законодательством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15. 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Исполнительный комитет и </w:t>
      </w:r>
      <w:r w:rsidR="000745CF">
        <w:rPr>
          <w:rFonts w:ascii="Times New Roman" w:hAnsi="Times New Roman"/>
          <w:sz w:val="28"/>
          <w:szCs w:val="28"/>
        </w:rPr>
        <w:t xml:space="preserve">Контрольно-счетная </w:t>
      </w:r>
      <w:r w:rsidR="000745CF" w:rsidRPr="0032768A">
        <w:rPr>
          <w:rFonts w:ascii="Times New Roman" w:hAnsi="Times New Roman"/>
          <w:sz w:val="28"/>
          <w:szCs w:val="28"/>
        </w:rPr>
        <w:t>палата</w:t>
      </w:r>
      <w:r w:rsidRPr="0032768A">
        <w:rPr>
          <w:rFonts w:ascii="Times New Roman" w:hAnsi="Times New Roman"/>
          <w:sz w:val="28"/>
          <w:szCs w:val="28"/>
        </w:rPr>
        <w:t xml:space="preserve">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42B45" w:rsidRPr="0032768A" w:rsidRDefault="00742B45" w:rsidP="0032768A">
      <w:pPr>
        <w:rPr>
          <w:rFonts w:ascii="Times New Roman" w:hAnsi="Times New Roman"/>
          <w:sz w:val="28"/>
          <w:szCs w:val="28"/>
        </w:rPr>
      </w:pPr>
    </w:p>
    <w:sectPr w:rsidR="00742B45" w:rsidRPr="0032768A" w:rsidSect="00546F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709D7"/>
    <w:multiLevelType w:val="multilevel"/>
    <w:tmpl w:val="67EAE91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color w:val="000000" w:themeColor="text1"/>
      </w:rPr>
    </w:lvl>
  </w:abstractNum>
  <w:abstractNum w:abstractNumId="1" w15:restartNumberingAfterBreak="0">
    <w:nsid w:val="412905AD"/>
    <w:multiLevelType w:val="hybridMultilevel"/>
    <w:tmpl w:val="BC56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50668"/>
    <w:multiLevelType w:val="hybridMultilevel"/>
    <w:tmpl w:val="9EE2B71A"/>
    <w:lvl w:ilvl="0" w:tplc="5CFE0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A"/>
    <w:rsid w:val="000745CF"/>
    <w:rsid w:val="00080EB8"/>
    <w:rsid w:val="00132620"/>
    <w:rsid w:val="001A472C"/>
    <w:rsid w:val="001D04F8"/>
    <w:rsid w:val="0023166A"/>
    <w:rsid w:val="00321611"/>
    <w:rsid w:val="0032768A"/>
    <w:rsid w:val="00332824"/>
    <w:rsid w:val="003638D6"/>
    <w:rsid w:val="00386005"/>
    <w:rsid w:val="00507CAD"/>
    <w:rsid w:val="005317A9"/>
    <w:rsid w:val="005361E5"/>
    <w:rsid w:val="00575CA2"/>
    <w:rsid w:val="006A101C"/>
    <w:rsid w:val="006C47DE"/>
    <w:rsid w:val="00742B45"/>
    <w:rsid w:val="00834850"/>
    <w:rsid w:val="0085685A"/>
    <w:rsid w:val="008705CD"/>
    <w:rsid w:val="008774B3"/>
    <w:rsid w:val="008A72BA"/>
    <w:rsid w:val="009648A4"/>
    <w:rsid w:val="009B3465"/>
    <w:rsid w:val="00AA49C4"/>
    <w:rsid w:val="00C228FD"/>
    <w:rsid w:val="00CE08CB"/>
    <w:rsid w:val="00D069C7"/>
    <w:rsid w:val="00DF7097"/>
    <w:rsid w:val="00E12AB0"/>
    <w:rsid w:val="00E63C42"/>
    <w:rsid w:val="00E655B6"/>
    <w:rsid w:val="00EA7DA8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6F8D4-60CA-4B1C-9732-8AE9E871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5685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68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685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568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685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uiPriority w:val="99"/>
    <w:unhideWhenUsed/>
    <w:rsid w:val="00964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48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6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gazimova</dc:creator>
  <cp:keywords/>
  <dc:description/>
  <cp:lastModifiedBy>Учетная запись Майкрософт</cp:lastModifiedBy>
  <cp:revision>8</cp:revision>
  <cp:lastPrinted>2021-06-28T09:59:00Z</cp:lastPrinted>
  <dcterms:created xsi:type="dcterms:W3CDTF">2021-06-25T14:45:00Z</dcterms:created>
  <dcterms:modified xsi:type="dcterms:W3CDTF">2021-06-28T10:06:00Z</dcterms:modified>
</cp:coreProperties>
</file>