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48" w:rsidRDefault="001B4748" w:rsidP="001B4748">
      <w:pPr>
        <w:shd w:val="clear" w:color="auto" w:fill="FFFFFF"/>
        <w:spacing w:after="0" w:line="240" w:lineRule="auto"/>
        <w:jc w:val="center"/>
        <w:rPr>
          <w:rStyle w:val="FontStyle41"/>
          <w:sz w:val="28"/>
          <w:szCs w:val="28"/>
        </w:rPr>
      </w:pPr>
      <w:r w:rsidRPr="001B4748">
        <w:rPr>
          <w:rStyle w:val="FontStyle41"/>
          <w:sz w:val="28"/>
          <w:szCs w:val="28"/>
        </w:rPr>
        <w:t>Постановление Исполнительного комитета Агрызского муниципального района Р</w:t>
      </w:r>
      <w:r w:rsidR="00B46867">
        <w:rPr>
          <w:rStyle w:val="FontStyle41"/>
          <w:sz w:val="28"/>
          <w:szCs w:val="28"/>
        </w:rPr>
        <w:t xml:space="preserve">еспублики </w:t>
      </w:r>
      <w:r w:rsidRPr="001B4748">
        <w:rPr>
          <w:rStyle w:val="FontStyle41"/>
          <w:sz w:val="28"/>
          <w:szCs w:val="28"/>
        </w:rPr>
        <w:t>Т</w:t>
      </w:r>
      <w:r w:rsidR="00B46867">
        <w:rPr>
          <w:rStyle w:val="FontStyle41"/>
          <w:sz w:val="28"/>
          <w:szCs w:val="28"/>
        </w:rPr>
        <w:t>атарстан</w:t>
      </w:r>
      <w:r w:rsidRPr="001B4748">
        <w:rPr>
          <w:rStyle w:val="FontStyle41"/>
          <w:sz w:val="28"/>
          <w:szCs w:val="28"/>
        </w:rPr>
        <w:t xml:space="preserve"> </w:t>
      </w:r>
    </w:p>
    <w:p w:rsidR="001B4748" w:rsidRPr="001B4748" w:rsidRDefault="001B4748" w:rsidP="001B4748">
      <w:pPr>
        <w:shd w:val="clear" w:color="auto" w:fill="FFFFFF"/>
        <w:spacing w:after="0" w:line="240" w:lineRule="auto"/>
        <w:jc w:val="center"/>
        <w:rPr>
          <w:rStyle w:val="FontStyle41"/>
          <w:sz w:val="28"/>
          <w:szCs w:val="28"/>
        </w:rPr>
      </w:pPr>
    </w:p>
    <w:p w:rsidR="00052D5F" w:rsidRDefault="00052D5F" w:rsidP="001B4748">
      <w:pPr>
        <w:shd w:val="clear" w:color="auto" w:fill="FFFFFF"/>
        <w:spacing w:after="0" w:line="240" w:lineRule="auto"/>
        <w:rPr>
          <w:rStyle w:val="FontStyle41"/>
        </w:rPr>
      </w:pPr>
      <w:r>
        <w:rPr>
          <w:rStyle w:val="FontStyle41"/>
        </w:rPr>
        <w:t xml:space="preserve">О внесении изменений в постановление </w:t>
      </w:r>
    </w:p>
    <w:p w:rsidR="00052D5F" w:rsidRDefault="00052D5F" w:rsidP="001B4748">
      <w:pPr>
        <w:shd w:val="clear" w:color="auto" w:fill="FFFFFF"/>
        <w:spacing w:after="0" w:line="240" w:lineRule="auto"/>
        <w:rPr>
          <w:rStyle w:val="FontStyle41"/>
        </w:rPr>
      </w:pPr>
      <w:r>
        <w:rPr>
          <w:rStyle w:val="FontStyle41"/>
        </w:rPr>
        <w:t xml:space="preserve">Исполнительного комитета Агрызского </w:t>
      </w:r>
    </w:p>
    <w:p w:rsidR="00052D5F" w:rsidRDefault="00052D5F" w:rsidP="001B4748">
      <w:pPr>
        <w:shd w:val="clear" w:color="auto" w:fill="FFFFFF"/>
        <w:spacing w:after="0" w:line="240" w:lineRule="auto"/>
        <w:rPr>
          <w:rStyle w:val="FontStyle41"/>
        </w:rPr>
      </w:pPr>
      <w:proofErr w:type="gramStart"/>
      <w:r>
        <w:rPr>
          <w:rStyle w:val="FontStyle41"/>
        </w:rPr>
        <w:t>муниципального</w:t>
      </w:r>
      <w:proofErr w:type="gramEnd"/>
      <w:r>
        <w:rPr>
          <w:rStyle w:val="FontStyle41"/>
        </w:rPr>
        <w:t xml:space="preserve"> района Республики Татарстан </w:t>
      </w:r>
    </w:p>
    <w:p w:rsidR="001B4748" w:rsidRPr="001B4748" w:rsidRDefault="00052D5F" w:rsidP="001B4748">
      <w:pPr>
        <w:shd w:val="clear" w:color="auto" w:fill="FFFFFF"/>
        <w:spacing w:after="0" w:line="240" w:lineRule="auto"/>
        <w:rPr>
          <w:rStyle w:val="FontStyle41"/>
        </w:rPr>
      </w:pPr>
      <w:proofErr w:type="gramStart"/>
      <w:r>
        <w:rPr>
          <w:rStyle w:val="FontStyle41"/>
        </w:rPr>
        <w:t>от</w:t>
      </w:r>
      <w:proofErr w:type="gramEnd"/>
      <w:r>
        <w:rPr>
          <w:rStyle w:val="FontStyle41"/>
        </w:rPr>
        <w:t xml:space="preserve"> 01.12.2021 № 396 «</w:t>
      </w:r>
      <w:r w:rsidR="00A520F9">
        <w:rPr>
          <w:rStyle w:val="FontStyle41"/>
        </w:rPr>
        <w:t>Об утверждении р</w:t>
      </w:r>
      <w:r w:rsidR="001B4748" w:rsidRPr="001B4748">
        <w:rPr>
          <w:rStyle w:val="FontStyle41"/>
        </w:rPr>
        <w:t xml:space="preserve">еестра муниципальных </w:t>
      </w:r>
    </w:p>
    <w:p w:rsidR="001B4748" w:rsidRPr="001B4748" w:rsidRDefault="001B4748" w:rsidP="001B4748">
      <w:pPr>
        <w:shd w:val="clear" w:color="auto" w:fill="FFFFFF"/>
        <w:spacing w:after="0" w:line="240" w:lineRule="auto"/>
        <w:rPr>
          <w:rStyle w:val="FontStyle41"/>
        </w:rPr>
      </w:pPr>
      <w:proofErr w:type="gramStart"/>
      <w:r w:rsidRPr="001B4748">
        <w:rPr>
          <w:rStyle w:val="FontStyle41"/>
        </w:rPr>
        <w:t>маршрутов</w:t>
      </w:r>
      <w:proofErr w:type="gramEnd"/>
      <w:r w:rsidRPr="001B4748">
        <w:rPr>
          <w:rStyle w:val="FontStyle41"/>
        </w:rPr>
        <w:t xml:space="preserve"> регулярных перевозок пассажиров </w:t>
      </w:r>
    </w:p>
    <w:p w:rsidR="001B4748" w:rsidRPr="001B4748" w:rsidRDefault="001B4748" w:rsidP="001B4748">
      <w:pPr>
        <w:shd w:val="clear" w:color="auto" w:fill="FFFFFF"/>
        <w:spacing w:after="0" w:line="240" w:lineRule="auto"/>
        <w:rPr>
          <w:rStyle w:val="FontStyle41"/>
        </w:rPr>
      </w:pPr>
      <w:proofErr w:type="gramStart"/>
      <w:r w:rsidRPr="001B4748">
        <w:rPr>
          <w:rStyle w:val="FontStyle41"/>
        </w:rPr>
        <w:t>и</w:t>
      </w:r>
      <w:proofErr w:type="gramEnd"/>
      <w:r w:rsidRPr="001B4748">
        <w:rPr>
          <w:rStyle w:val="FontStyle41"/>
        </w:rPr>
        <w:t xml:space="preserve"> багажа автомобильным транспортом на территории </w:t>
      </w:r>
    </w:p>
    <w:p w:rsidR="001B4748" w:rsidRPr="001B4748" w:rsidRDefault="001B4748" w:rsidP="001B4748">
      <w:pPr>
        <w:shd w:val="clear" w:color="auto" w:fill="FFFFFF"/>
        <w:spacing w:after="0" w:line="240" w:lineRule="auto"/>
        <w:rPr>
          <w:rStyle w:val="FontStyle41"/>
        </w:rPr>
      </w:pPr>
      <w:r w:rsidRPr="001B4748">
        <w:rPr>
          <w:rStyle w:val="FontStyle41"/>
        </w:rPr>
        <w:t xml:space="preserve">Агрызского муниципального района </w:t>
      </w:r>
    </w:p>
    <w:p w:rsidR="001B4748" w:rsidRDefault="001B4748" w:rsidP="001B4748">
      <w:pPr>
        <w:shd w:val="clear" w:color="auto" w:fill="FFFFFF"/>
        <w:spacing w:after="0" w:line="240" w:lineRule="auto"/>
        <w:rPr>
          <w:rStyle w:val="FontStyle41"/>
        </w:rPr>
      </w:pPr>
      <w:r w:rsidRPr="001B4748">
        <w:rPr>
          <w:rStyle w:val="FontStyle41"/>
        </w:rPr>
        <w:t>Республики Татарстан</w:t>
      </w:r>
      <w:r w:rsidR="00052D5F">
        <w:rPr>
          <w:rStyle w:val="FontStyle41"/>
        </w:rPr>
        <w:t>»</w:t>
      </w:r>
    </w:p>
    <w:p w:rsidR="00B46867" w:rsidRDefault="00B46867" w:rsidP="001B4748">
      <w:pPr>
        <w:shd w:val="clear" w:color="auto" w:fill="FFFFFF"/>
        <w:spacing w:after="0" w:line="240" w:lineRule="auto"/>
        <w:rPr>
          <w:rStyle w:val="FontStyle41"/>
        </w:rPr>
      </w:pPr>
    </w:p>
    <w:p w:rsidR="00B46867" w:rsidRPr="001B4748" w:rsidRDefault="00B46867" w:rsidP="001B4748">
      <w:pPr>
        <w:shd w:val="clear" w:color="auto" w:fill="FFFFFF"/>
        <w:spacing w:after="0" w:line="240" w:lineRule="auto"/>
        <w:rPr>
          <w:rStyle w:val="FontStyle41"/>
        </w:rPr>
      </w:pPr>
    </w:p>
    <w:p w:rsidR="001B4748" w:rsidRDefault="001B4748" w:rsidP="001B4748">
      <w:pPr>
        <w:shd w:val="clear" w:color="auto" w:fill="FFFFFF"/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B4748">
        <w:rPr>
          <w:rStyle w:val="FontStyle4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Республики Татарстан от 26.12.2015 №107-ЗРТ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Исполнительный комитет Агрызского муниципального района Республики Татарстан </w:t>
      </w:r>
    </w:p>
    <w:p w:rsidR="00052D5F" w:rsidRDefault="00052D5F" w:rsidP="001B4748">
      <w:pPr>
        <w:shd w:val="clear" w:color="auto" w:fill="FFFFFF"/>
        <w:spacing w:after="0" w:line="240" w:lineRule="auto"/>
        <w:ind w:firstLine="709"/>
        <w:jc w:val="center"/>
        <w:rPr>
          <w:rStyle w:val="FontStyle41"/>
          <w:sz w:val="28"/>
          <w:szCs w:val="28"/>
        </w:rPr>
      </w:pPr>
    </w:p>
    <w:p w:rsidR="001B4748" w:rsidRDefault="001B4748" w:rsidP="001B4748">
      <w:pPr>
        <w:shd w:val="clear" w:color="auto" w:fill="FFFFFF"/>
        <w:spacing w:after="0" w:line="240" w:lineRule="auto"/>
        <w:ind w:firstLine="709"/>
        <w:jc w:val="center"/>
        <w:rPr>
          <w:rStyle w:val="FontStyle41"/>
          <w:sz w:val="28"/>
          <w:szCs w:val="28"/>
        </w:rPr>
      </w:pPr>
      <w:r w:rsidRPr="001B4748">
        <w:rPr>
          <w:rStyle w:val="FontStyle41"/>
          <w:sz w:val="28"/>
          <w:szCs w:val="28"/>
        </w:rPr>
        <w:t>ПОСТАНОВЛЯЕТ:</w:t>
      </w:r>
    </w:p>
    <w:p w:rsidR="001B4748" w:rsidRPr="001B4748" w:rsidRDefault="001B4748" w:rsidP="001B4748">
      <w:pPr>
        <w:shd w:val="clear" w:color="auto" w:fill="FFFFFF"/>
        <w:spacing w:after="0" w:line="240" w:lineRule="auto"/>
        <w:ind w:firstLine="709"/>
        <w:jc w:val="center"/>
        <w:rPr>
          <w:rStyle w:val="FontStyle41"/>
          <w:sz w:val="28"/>
          <w:szCs w:val="28"/>
        </w:rPr>
      </w:pPr>
    </w:p>
    <w:p w:rsidR="001B4748" w:rsidRDefault="00AD7467" w:rsidP="00D64F2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6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4748" w:rsidRPr="001B4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муниципальных маршрутов регулярных перевозок пассажиров и багажа автомобильным транспортом на территории Агрызского муниципального района Республики Татарстан.</w:t>
      </w:r>
    </w:p>
    <w:p w:rsidR="00AD7467" w:rsidRPr="001B4748" w:rsidRDefault="00AD7467" w:rsidP="00D64F2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Исполнительного комитета Агрызского муниципального района Республики Татарстан от 01.12.2021 № 396 «Об утверждении реестра муниципальных маршрутов регулярных перевозок пассажиров и багажа автомобильным транспортом на территории Агрызского муниципального района Республики Татарстан».</w:t>
      </w:r>
    </w:p>
    <w:p w:rsidR="001B4748" w:rsidRPr="001B4748" w:rsidRDefault="001B4748" w:rsidP="00D64F2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5"/>
        <w:jc w:val="both"/>
        <w:rPr>
          <w:rStyle w:val="FontStyle41"/>
          <w:rFonts w:eastAsia="Times New Roman"/>
          <w:color w:val="3C4052"/>
          <w:sz w:val="28"/>
          <w:szCs w:val="28"/>
          <w:lang w:eastAsia="ru-RU"/>
        </w:rPr>
      </w:pPr>
      <w:r>
        <w:rPr>
          <w:rStyle w:val="FontStyle41"/>
          <w:sz w:val="28"/>
          <w:szCs w:val="28"/>
        </w:rPr>
        <w:t>Настоящее постановление опубликовать на портале правовой информации Республики Татарстан (</w:t>
      </w:r>
      <w:hyperlink r:id="rId5" w:history="1"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1B10">
        <w:rPr>
          <w:rStyle w:val="FontStyle41"/>
          <w:sz w:val="28"/>
          <w:szCs w:val="28"/>
        </w:rPr>
        <w:t xml:space="preserve">) </w:t>
      </w:r>
      <w:r>
        <w:rPr>
          <w:rStyle w:val="FontStyle41"/>
          <w:sz w:val="28"/>
          <w:szCs w:val="28"/>
        </w:rPr>
        <w:t>и на официальном сайте Агрызского муниципального района в составе портала муниципальных образований Республики Татарстан (</w:t>
      </w:r>
      <w:hyperlink r:id="rId6" w:history="1"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agryz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1B47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4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1B10">
        <w:rPr>
          <w:rStyle w:val="FontStyle41"/>
          <w:sz w:val="28"/>
          <w:szCs w:val="28"/>
        </w:rPr>
        <w:t>)</w:t>
      </w:r>
      <w:r w:rsidRPr="00E9216F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в информационно-телекоммуникационной сети «Интернет».</w:t>
      </w:r>
    </w:p>
    <w:p w:rsidR="001B4748" w:rsidRPr="001B4748" w:rsidRDefault="001B4748" w:rsidP="00D64F2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70365" w:rsidRDefault="00370365">
      <w:pPr>
        <w:rPr>
          <w:rFonts w:ascii="Times New Roman" w:hAnsi="Times New Roman" w:cs="Times New Roman"/>
          <w:sz w:val="28"/>
          <w:szCs w:val="28"/>
        </w:rPr>
      </w:pPr>
    </w:p>
    <w:p w:rsidR="00294EB1" w:rsidRDefault="001B4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</w:t>
      </w:r>
      <w:proofErr w:type="spellEnd"/>
      <w:r w:rsidR="00294EB1">
        <w:rPr>
          <w:rFonts w:ascii="Times New Roman" w:hAnsi="Times New Roman" w:cs="Times New Roman"/>
          <w:sz w:val="28"/>
          <w:szCs w:val="28"/>
        </w:rPr>
        <w:br w:type="page"/>
      </w:r>
    </w:p>
    <w:p w:rsidR="00294EB1" w:rsidRDefault="00294EB1">
      <w:pPr>
        <w:rPr>
          <w:rFonts w:ascii="Times New Roman" w:hAnsi="Times New Roman" w:cs="Times New Roman"/>
          <w:sz w:val="28"/>
          <w:szCs w:val="28"/>
        </w:rPr>
        <w:sectPr w:rsidR="00294EB1" w:rsidSect="00052D5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2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2517"/>
        <w:gridCol w:w="2100"/>
        <w:gridCol w:w="980"/>
        <w:gridCol w:w="1020"/>
        <w:gridCol w:w="940"/>
        <w:gridCol w:w="1515"/>
        <w:gridCol w:w="1134"/>
        <w:gridCol w:w="709"/>
        <w:gridCol w:w="1134"/>
        <w:gridCol w:w="709"/>
        <w:gridCol w:w="1559"/>
        <w:gridCol w:w="4680"/>
      </w:tblGrid>
      <w:tr w:rsidR="00294EB1" w:rsidRPr="00294EB1" w:rsidTr="009E51DD">
        <w:trPr>
          <w:gridAfter w:val="1"/>
          <w:wAfter w:w="4680" w:type="dxa"/>
          <w:trHeight w:hRule="exact" w:val="1011"/>
        </w:trPr>
        <w:tc>
          <w:tcPr>
            <w:tcW w:w="11335" w:type="dxa"/>
            <w:gridSpan w:val="9"/>
            <w:vAlign w:val="center"/>
          </w:tcPr>
          <w:p w:rsidR="00294EB1" w:rsidRPr="00294EB1" w:rsidRDefault="00294EB1" w:rsidP="00294EB1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Утвержден постановлением Исполнительного комитета Агрызского муниципального района Республики Татарстан </w:t>
            </w:r>
            <w:proofErr w:type="gram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  "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__"_____ 2021 №</w:t>
            </w: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____</w:t>
            </w:r>
          </w:p>
        </w:tc>
      </w:tr>
      <w:tr w:rsidR="00294EB1" w:rsidRPr="00294EB1" w:rsidTr="009E51DD">
        <w:trPr>
          <w:trHeight w:hRule="exact" w:val="712"/>
        </w:trPr>
        <w:tc>
          <w:tcPr>
            <w:tcW w:w="21260" w:type="dxa"/>
            <w:gridSpan w:val="15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Реестр муниципальных маршрутов регулярных перевозок пассажиров и багажа автомобильным транспортом </w:t>
            </w:r>
          </w:p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EB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</w:t>
            </w:r>
            <w:proofErr w:type="gramEnd"/>
            <w:r w:rsidRPr="00294EB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территории Агрызского муниципального района Республики Татарстан</w:t>
            </w:r>
          </w:p>
        </w:tc>
      </w:tr>
      <w:tr w:rsidR="00294EB1" w:rsidRPr="00294EB1" w:rsidTr="009E51DD">
        <w:trPr>
          <w:gridAfter w:val="1"/>
          <w:wAfter w:w="4680" w:type="dxa"/>
          <w:trHeight w:hRule="exact" w:val="960"/>
        </w:trPr>
        <w:tc>
          <w:tcPr>
            <w:tcW w:w="562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Регистрационный номер маршрута регулярных перевозок</w:t>
            </w:r>
          </w:p>
        </w:tc>
        <w:tc>
          <w:tcPr>
            <w:tcW w:w="709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Порядковый номер маршрута регулярных перевозок</w:t>
            </w:r>
          </w:p>
        </w:tc>
        <w:tc>
          <w:tcPr>
            <w:tcW w:w="992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Наименование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маршрута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регулярных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перевозок</w:t>
            </w:r>
            <w:proofErr w:type="spellEnd"/>
          </w:p>
        </w:tc>
        <w:tc>
          <w:tcPr>
            <w:tcW w:w="2517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00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улиц, автомобильных дорог между остановочными пунктами по маршруту регулярных перевозок</w:t>
            </w:r>
          </w:p>
        </w:tc>
        <w:tc>
          <w:tcPr>
            <w:tcW w:w="980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Протяженность маршрута регулярных перевозок, км</w:t>
            </w:r>
          </w:p>
        </w:tc>
        <w:tc>
          <w:tcPr>
            <w:tcW w:w="1020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Порядок посадки и высадки пассажиров</w:t>
            </w:r>
          </w:p>
        </w:tc>
        <w:tc>
          <w:tcPr>
            <w:tcW w:w="940" w:type="dxa"/>
            <w:vMerge w:val="restart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Вид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регулярных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перевозок</w:t>
            </w:r>
            <w:proofErr w:type="spellEnd"/>
          </w:p>
        </w:tc>
        <w:tc>
          <w:tcPr>
            <w:tcW w:w="3358" w:type="dxa"/>
            <w:gridSpan w:val="3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Виды и классы (максимальное количество ТС каждого класса)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vMerge w:val="restart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94EB1" w:rsidRPr="00294EB1" w:rsidTr="009E51DD">
        <w:trPr>
          <w:gridAfter w:val="3"/>
          <w:wAfter w:w="6948" w:type="dxa"/>
          <w:trHeight w:hRule="exact" w:val="580"/>
        </w:trPr>
        <w:tc>
          <w:tcPr>
            <w:tcW w:w="562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7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vMerge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Вид</w:t>
            </w:r>
            <w:proofErr w:type="spellEnd"/>
          </w:p>
        </w:tc>
        <w:tc>
          <w:tcPr>
            <w:tcW w:w="1134" w:type="dxa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294EB1" w:rsidRPr="00294EB1" w:rsidTr="009E51DD">
        <w:trPr>
          <w:gridAfter w:val="1"/>
          <w:wAfter w:w="4680" w:type="dxa"/>
          <w:trHeight w:hRule="exact" w:val="2152"/>
        </w:trPr>
        <w:tc>
          <w:tcPr>
            <w:tcW w:w="56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ТД Агрыз - АЗСМ</w:t>
            </w:r>
          </w:p>
        </w:tc>
        <w:tc>
          <w:tcPr>
            <w:tcW w:w="2517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Рынок, ДДТ "Радуга", СОШ №4, </w:t>
            </w:r>
            <w:proofErr w:type="spellStart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Соцзащита,СОШ</w:t>
            </w:r>
            <w:proofErr w:type="spellEnd"/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№ 3,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Агрызская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ЦРБ, ДОУ "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Бэлэкэч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",  магазин "Ветеран", СОК "ОЛИМП",  Магазин "Аист", Ледовый дворец,  Магазин "Стройка", Кафе "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Иминлек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".</w:t>
            </w:r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г. </w:t>
            </w:r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Агрыз  ул.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Пушкина,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Ометова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Саетова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Заводская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6,5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Регулярная перевозка по нерегулируемому тарифу</w:t>
            </w: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малый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выше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01.08.2021</w:t>
            </w:r>
          </w:p>
        </w:tc>
        <w:tc>
          <w:tcPr>
            <w:tcW w:w="1559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ООО «КА-</w:t>
            </w:r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345»  ИНН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1821011903, Удмуртская Республика 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М.Пурга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Набережная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49</w:t>
            </w:r>
          </w:p>
        </w:tc>
      </w:tr>
      <w:tr w:rsidR="00294EB1" w:rsidRPr="00294EB1" w:rsidTr="009E51DD">
        <w:trPr>
          <w:gridAfter w:val="1"/>
          <w:wAfter w:w="4680" w:type="dxa"/>
          <w:trHeight w:hRule="exact" w:val="2112"/>
        </w:trPr>
        <w:tc>
          <w:tcPr>
            <w:tcW w:w="56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ж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/д вокзал  - ТД Агрыз</w:t>
            </w:r>
          </w:p>
        </w:tc>
        <w:tc>
          <w:tcPr>
            <w:tcW w:w="2517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Рынок, ДДТ "Радуга", СОШ №4, </w:t>
            </w:r>
            <w:proofErr w:type="spellStart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Соцзащита,СОШ</w:t>
            </w:r>
            <w:proofErr w:type="spellEnd"/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№ 3,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Агрызская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ЦРБ, ДОУ "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Бэлэкэч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",  магазин "Пятерочка", СОК "ОЛИМП",  Кольцевая,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Агрызская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магазин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№15 РАЙПО,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ул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Восточная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ул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Азина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ул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Кунгурова</w:t>
            </w:r>
            <w:proofErr w:type="spellEnd"/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г. Агрыз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ул.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Пушкина,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Ометова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Саетова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Саетова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М.Джалиля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ул. Восточная,  ул. Казанская, ул. Кирова,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Вокзальная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6,5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Регулярная перевозка по нерегулируемому тарифу</w:t>
            </w: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малый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выше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01.08.2021</w:t>
            </w:r>
          </w:p>
        </w:tc>
        <w:tc>
          <w:tcPr>
            <w:tcW w:w="1559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ООО «КА-</w:t>
            </w:r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345»  ИНН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1821011903, Удмуртская Республика 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М.Пурга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Набережная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49</w:t>
            </w:r>
          </w:p>
        </w:tc>
      </w:tr>
      <w:tr w:rsidR="00294EB1" w:rsidRPr="00294EB1" w:rsidTr="009E51DD">
        <w:trPr>
          <w:gridAfter w:val="1"/>
          <w:wAfter w:w="4680" w:type="dxa"/>
          <w:trHeight w:hRule="exact" w:val="3987"/>
        </w:trPr>
        <w:tc>
          <w:tcPr>
            <w:tcW w:w="56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Агрыз-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Красный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Бор</w:t>
            </w:r>
            <w:proofErr w:type="spellEnd"/>
          </w:p>
        </w:tc>
        <w:tc>
          <w:tcPr>
            <w:tcW w:w="2517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-Байки,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Биктово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с.Мордва</w:t>
            </w:r>
            <w:proofErr w:type="spellEnd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поворот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Назяр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Янга-Аул, д. Рус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Еленовск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д.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Тукай,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Хор.Ключ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Сахра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Кадряково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Старая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Чекалда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Салауши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Исенбаево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Азево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Кам.Ключ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Ямурзино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Кунтузла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г. Агрыз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-Байки (ул. Центральная), с. Мордва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д. Рус.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Луговая),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Ленина), д. Тукай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ул.Тукая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), с. Красный Бор (ул. Маркина)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85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выше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01.01.2022</w:t>
            </w:r>
          </w:p>
        </w:tc>
        <w:tc>
          <w:tcPr>
            <w:tcW w:w="1559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по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результатам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торгов</w:t>
            </w:r>
            <w:proofErr w:type="spellEnd"/>
          </w:p>
        </w:tc>
      </w:tr>
      <w:tr w:rsidR="00294EB1" w:rsidRPr="00294EB1" w:rsidTr="009E51DD">
        <w:trPr>
          <w:gridAfter w:val="1"/>
          <w:wAfter w:w="4680" w:type="dxa"/>
          <w:trHeight w:hRule="exact" w:val="2824"/>
        </w:trPr>
        <w:tc>
          <w:tcPr>
            <w:tcW w:w="56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Агрыз -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Варзи-Омга</w:t>
            </w:r>
            <w:proofErr w:type="spellEnd"/>
          </w:p>
        </w:tc>
        <w:tc>
          <w:tcPr>
            <w:tcW w:w="2517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-Байки,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Биктово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с.Мордва</w:t>
            </w:r>
            <w:proofErr w:type="spellEnd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поворот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Назяр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Янга-Аул, д. Рус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Еленовск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Хор.Ключ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Рус.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Тукай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Крынды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Кичкетан</w:t>
            </w:r>
            <w:proofErr w:type="spellEnd"/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г. Агрыз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-Байки (ул. Центральная), с. Мордва (Центральная),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Назяр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Янга-Аул, д. Рус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Еленовск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Хор.Ключ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Крынды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Кичкетан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Варзи-Омга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Клубная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)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64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выше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01.01.2022</w:t>
            </w:r>
          </w:p>
        </w:tc>
        <w:tc>
          <w:tcPr>
            <w:tcW w:w="1559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по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результатам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торгов</w:t>
            </w:r>
            <w:proofErr w:type="spellEnd"/>
          </w:p>
        </w:tc>
      </w:tr>
      <w:tr w:rsidR="00294EB1" w:rsidRPr="00294EB1" w:rsidTr="009E51DD">
        <w:trPr>
          <w:gridAfter w:val="1"/>
          <w:wAfter w:w="4680" w:type="dxa"/>
          <w:trHeight w:hRule="exact" w:val="3559"/>
        </w:trPr>
        <w:tc>
          <w:tcPr>
            <w:tcW w:w="56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Агрыз-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Бима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-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Кулегаш</w:t>
            </w:r>
            <w:proofErr w:type="spellEnd"/>
          </w:p>
        </w:tc>
        <w:tc>
          <w:tcPr>
            <w:tcW w:w="2517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-Байки,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Биктово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с.Мордва</w:t>
            </w:r>
            <w:proofErr w:type="spellEnd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поворот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Назяр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Янга-Аул, д. Рус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Еленовск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д.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Тукай,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Хор.Ключ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Сахра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Кадряково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Старая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Чекалда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Салауши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Исенбаево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Пелемеш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д. Бима</w:t>
            </w:r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г. Агрыз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-Байки (ул. Центральная), с. Мордва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д. Рус.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ул.Луговая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Ленина), д. Тукай (ул. Тукая), с. Бима (ул. Ленина),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Кулегаш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Советская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)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74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выше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01.01.2022</w:t>
            </w:r>
          </w:p>
        </w:tc>
        <w:tc>
          <w:tcPr>
            <w:tcW w:w="1559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по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результатам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торгов</w:t>
            </w:r>
            <w:proofErr w:type="spellEnd"/>
          </w:p>
        </w:tc>
      </w:tr>
      <w:tr w:rsidR="00294EB1" w:rsidRPr="00294EB1" w:rsidTr="009E51DD">
        <w:trPr>
          <w:gridAfter w:val="1"/>
          <w:wAfter w:w="4680" w:type="dxa"/>
          <w:trHeight w:hRule="exact" w:val="3846"/>
        </w:trPr>
        <w:tc>
          <w:tcPr>
            <w:tcW w:w="56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Агрыз-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Салауши</w:t>
            </w:r>
            <w:proofErr w:type="spellEnd"/>
          </w:p>
        </w:tc>
        <w:tc>
          <w:tcPr>
            <w:tcW w:w="2517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-Байки,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Биктово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с.Мордва</w:t>
            </w:r>
            <w:proofErr w:type="spellEnd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поворот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Назяр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Янга-Аул, д. Рус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Ниж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proofErr w:type="gram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Еленовск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,  д.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Тукай,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Хор.Ключ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Сахра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Кадряково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Старая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Чекалда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Салауши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с.Ямурзино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Уразаево</w:t>
            </w:r>
            <w:proofErr w:type="spellEnd"/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г. Агрыз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-Байки (ул. Центральная), с. Мордва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д. Рус.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ул.Луговая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Ленина), д. Тукай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ул.Тукая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Ямурзино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(ул. Советская),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Салауши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ул.Ленина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75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1515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выше</w:t>
            </w:r>
            <w:proofErr w:type="spellEnd"/>
          </w:p>
        </w:tc>
        <w:tc>
          <w:tcPr>
            <w:tcW w:w="709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01.01.2022</w:t>
            </w:r>
          </w:p>
        </w:tc>
        <w:tc>
          <w:tcPr>
            <w:tcW w:w="1559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по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результатам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19"/>
                <w:szCs w:val="19"/>
                <w:lang w:val="en-US" w:eastAsia="zh-CN"/>
              </w:rPr>
              <w:t>торгов</w:t>
            </w:r>
            <w:proofErr w:type="spellEnd"/>
          </w:p>
        </w:tc>
      </w:tr>
    </w:tbl>
    <w:p w:rsidR="00294EB1" w:rsidRPr="00294EB1" w:rsidRDefault="00294EB1" w:rsidP="00294EB1">
      <w:pPr>
        <w:rPr>
          <w:rFonts w:ascii="Times New Roman" w:eastAsia="SimSun" w:hAnsi="Times New Roman" w:cs="Times New Roman"/>
          <w:sz w:val="19"/>
          <w:szCs w:val="19"/>
          <w:lang w:val="en-US" w:eastAsia="zh-CN"/>
        </w:rPr>
      </w:pPr>
      <w:r w:rsidRPr="00294EB1">
        <w:rPr>
          <w:rFonts w:ascii="Times New Roman" w:eastAsia="SimSun" w:hAnsi="Times New Roman" w:cs="Times New Roman"/>
          <w:sz w:val="19"/>
          <w:szCs w:val="19"/>
          <w:lang w:val="en-US" w:eastAsia="zh-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120"/>
        <w:gridCol w:w="2220"/>
        <w:gridCol w:w="2100"/>
        <w:gridCol w:w="980"/>
        <w:gridCol w:w="1020"/>
        <w:gridCol w:w="940"/>
        <w:gridCol w:w="640"/>
        <w:gridCol w:w="540"/>
        <w:gridCol w:w="880"/>
        <w:gridCol w:w="1080"/>
        <w:gridCol w:w="800"/>
        <w:gridCol w:w="1720"/>
      </w:tblGrid>
      <w:tr w:rsidR="00294EB1" w:rsidRPr="00294EB1" w:rsidTr="009E51DD">
        <w:trPr>
          <w:trHeight w:hRule="exact" w:val="1960"/>
        </w:trPr>
        <w:tc>
          <w:tcPr>
            <w:tcW w:w="72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Агрыз-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Утяганово</w:t>
            </w:r>
            <w:proofErr w:type="spellEnd"/>
          </w:p>
        </w:tc>
        <w:tc>
          <w:tcPr>
            <w:tcW w:w="222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-Байки,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Биктово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с.Мордва</w:t>
            </w:r>
            <w:proofErr w:type="spellEnd"/>
            <w:proofErr w:type="gram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 поворот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Назяр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д. Янга-Аул, д. Рус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д. </w:t>
            </w:r>
            <w:proofErr w:type="spellStart"/>
            <w:proofErr w:type="gram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Еленовск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 д.</w:t>
            </w:r>
            <w:proofErr w:type="gram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Тукай,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Хор.Ключ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Сахра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Кадряково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с. Старая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Чекалда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Салауши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Исенбаево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д. Новое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Кадыбаш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Девятерня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Ст.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Сляково</w:t>
            </w:r>
            <w:proofErr w:type="spellEnd"/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г. Агрыз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-Байки (ул. Центральная), с. Мордва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д. Рус.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Шаршада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ул.Луговая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Кучуково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Ленина), д. Тукай (ул. Такая), д. Новое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Центральная),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Кадыбаш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ул.Клубная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Касаевская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Ст.Сляково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Клубная),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Утяганово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Школьная)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64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54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8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выше</w:t>
            </w:r>
            <w:proofErr w:type="spellEnd"/>
          </w:p>
        </w:tc>
        <w:tc>
          <w:tcPr>
            <w:tcW w:w="80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01.01.2022</w:t>
            </w:r>
          </w:p>
        </w:tc>
        <w:tc>
          <w:tcPr>
            <w:tcW w:w="172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по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результатам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торгов</w:t>
            </w:r>
            <w:proofErr w:type="spellEnd"/>
          </w:p>
        </w:tc>
      </w:tr>
      <w:tr w:rsidR="00294EB1" w:rsidRPr="00294EB1" w:rsidTr="009E51DD">
        <w:trPr>
          <w:trHeight w:hRule="exact" w:val="1440"/>
        </w:trPr>
        <w:tc>
          <w:tcPr>
            <w:tcW w:w="72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Агрыз-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Табарле</w:t>
            </w:r>
            <w:proofErr w:type="spellEnd"/>
          </w:p>
        </w:tc>
        <w:tc>
          <w:tcPr>
            <w:tcW w:w="222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-Байки, поворот д.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Биктово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д. Мордва,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Сарсак-Омга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поворот д. Тат.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Тансары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д. Н.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Аккузино</w:t>
            </w:r>
            <w:proofErr w:type="spellEnd"/>
          </w:p>
        </w:tc>
        <w:tc>
          <w:tcPr>
            <w:tcW w:w="210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г. Агрыз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К.Маркса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Иж-Бобья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Иж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-Байки (ул. Центральная), с. Мордва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ул.Центральная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Терси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Школьная, ул. Центральная),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Сарсак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Омга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Молодежная), д. Новая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Аккузино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(ул.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Советская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), с.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Табарле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Ленина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02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Только в установленных остановочных пунктах</w:t>
            </w:r>
          </w:p>
        </w:tc>
        <w:tc>
          <w:tcPr>
            <w:tcW w:w="940" w:type="dxa"/>
            <w:vAlign w:val="center"/>
          </w:tcPr>
          <w:p w:rsidR="00294EB1" w:rsidRPr="00294EB1" w:rsidRDefault="00294EB1" w:rsidP="00294EB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64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Автобус</w:t>
            </w:r>
            <w:proofErr w:type="spellEnd"/>
          </w:p>
        </w:tc>
        <w:tc>
          <w:tcPr>
            <w:tcW w:w="54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средний</w:t>
            </w:r>
            <w:proofErr w:type="spellEnd"/>
          </w:p>
        </w:tc>
        <w:tc>
          <w:tcPr>
            <w:tcW w:w="8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Евро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3 и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выше</w:t>
            </w:r>
            <w:proofErr w:type="spellEnd"/>
          </w:p>
        </w:tc>
        <w:tc>
          <w:tcPr>
            <w:tcW w:w="800" w:type="dxa"/>
            <w:vAlign w:val="center"/>
          </w:tcPr>
          <w:p w:rsidR="00294EB1" w:rsidRPr="00294EB1" w:rsidRDefault="00294EB1" w:rsidP="00294EB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01.01.2022</w:t>
            </w:r>
          </w:p>
        </w:tc>
        <w:tc>
          <w:tcPr>
            <w:tcW w:w="1720" w:type="dxa"/>
            <w:vAlign w:val="center"/>
          </w:tcPr>
          <w:p w:rsidR="00294EB1" w:rsidRPr="00294EB1" w:rsidRDefault="00294EB1" w:rsidP="00294EB1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по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результатам</w:t>
            </w:r>
            <w:proofErr w:type="spellEnd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94E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торгов</w:t>
            </w:r>
            <w:proofErr w:type="spellEnd"/>
          </w:p>
        </w:tc>
      </w:tr>
    </w:tbl>
    <w:p w:rsidR="001B4748" w:rsidRDefault="001B47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EB1" w:rsidRDefault="00294EB1">
      <w:pPr>
        <w:rPr>
          <w:rFonts w:ascii="Times New Roman" w:hAnsi="Times New Roman" w:cs="Times New Roman"/>
          <w:sz w:val="28"/>
          <w:szCs w:val="28"/>
        </w:rPr>
      </w:pPr>
    </w:p>
    <w:p w:rsidR="00294EB1" w:rsidRPr="001B4748" w:rsidRDefault="00294EB1">
      <w:pPr>
        <w:rPr>
          <w:rFonts w:ascii="Times New Roman" w:hAnsi="Times New Roman" w:cs="Times New Roman"/>
          <w:sz w:val="28"/>
          <w:szCs w:val="28"/>
        </w:rPr>
      </w:pPr>
    </w:p>
    <w:sectPr w:rsidR="00294EB1" w:rsidRPr="001B4748" w:rsidSect="00294EB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52FF0"/>
    <w:multiLevelType w:val="multilevel"/>
    <w:tmpl w:val="8106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48"/>
    <w:rsid w:val="00052D5F"/>
    <w:rsid w:val="00167F68"/>
    <w:rsid w:val="001B4748"/>
    <w:rsid w:val="00294EB1"/>
    <w:rsid w:val="00370365"/>
    <w:rsid w:val="008661B6"/>
    <w:rsid w:val="00A520F9"/>
    <w:rsid w:val="00AD7467"/>
    <w:rsid w:val="00B46867"/>
    <w:rsid w:val="00D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628C-4412-43A8-93B3-17907E39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B4748"/>
    <w:rPr>
      <w:color w:val="0000FF"/>
      <w:u w:val="single"/>
    </w:rPr>
  </w:style>
  <w:style w:type="character" w:customStyle="1" w:styleId="FontStyle41">
    <w:name w:val="Font Style41"/>
    <w:uiPriority w:val="99"/>
    <w:rsid w:val="001B47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yz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Фатхутдинова</cp:lastModifiedBy>
  <cp:revision>2</cp:revision>
  <dcterms:created xsi:type="dcterms:W3CDTF">2021-12-20T06:28:00Z</dcterms:created>
  <dcterms:modified xsi:type="dcterms:W3CDTF">2021-12-20T06:28:00Z</dcterms:modified>
</cp:coreProperties>
</file>