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right"/>
        <w:rPr/>
      </w:pPr>
      <w:r>
        <w:rPr>
          <w:rFonts w:cs="Times New Roman"/>
          <w:sz w:val="28"/>
          <w:szCs w:val="28"/>
          <w:lang w:val="en-US"/>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МУНИЦИПАЛЬНОГО ОБРАЗОВАНИЯ «ГОРОД АГРЫЗ»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spacing w:lineRule="auto" w:line="360"/>
        <w:jc w:val="center"/>
        <w:rPr/>
      </w:pPr>
      <w:r>
        <w:rPr>
          <w:rFonts w:cs="Times New Roman"/>
          <w:b w:val="false"/>
          <w:bCs/>
          <w:sz w:val="28"/>
          <w:szCs w:val="28"/>
          <w:lang w:val="en-US"/>
        </w:rPr>
        <w:t xml:space="preserve">РЕШЕНИЕ </w:t>
      </w:r>
    </w:p>
    <w:p>
      <w:pPr>
        <w:pStyle w:val="Normal"/>
        <w:rPr>
          <w:vanish/>
        </w:rPr>
      </w:pPr>
      <w:r>
        <w:rPr>
          <w:vanish/>
        </w:rPr>
      </w:r>
    </w:p>
    <w:p>
      <w:pPr>
        <w:pStyle w:val="Normal"/>
        <w:rPr>
          <w:vanish/>
          <w:sz w:val="28"/>
          <w:szCs w:val="28"/>
        </w:rPr>
      </w:pPr>
      <w:r>
        <w:rPr>
          <w:vanish w:val="false"/>
          <w:sz w:val="28"/>
          <w:szCs w:val="28"/>
        </w:rPr>
        <mc:AlternateContent>
          <mc:Choice Requires="wps">
            <w:drawing>
              <wp:anchor behindDoc="0" distT="0" distB="0" distL="113665" distR="113665" simplePos="0" locked="0" layoutInCell="0" allowOverlap="1" relativeHeight="2">
                <wp:simplePos x="0" y="0"/>
                <wp:positionH relativeFrom="margin">
                  <wp:posOffset>0</wp:posOffset>
                </wp:positionH>
                <wp:positionV relativeFrom="paragraph">
                  <wp:posOffset>635</wp:posOffset>
                </wp:positionV>
                <wp:extent cx="5757545" cy="17780"/>
                <wp:effectExtent l="0" t="0" r="0" b="0"/>
                <wp:wrapSquare wrapText="bothSides"/>
                <wp:docPr id="1" name="Врезка1"/>
                <a:graphic xmlns:a="http://schemas.openxmlformats.org/drawingml/2006/main">
                  <a:graphicData uri="http://schemas.microsoft.com/office/word/2010/wordprocessingShape">
                    <wps:wsp>
                      <wps:cNvSpPr/>
                      <wps:spPr>
                        <a:xfrm>
                          <a:off x="0" y="0"/>
                          <a:ext cx="5757480" cy="17640"/>
                        </a:xfrm>
                        <a:prstGeom prst="rect">
                          <a:avLst/>
                        </a:prstGeom>
                        <a:noFill/>
                        <a:ln w="0">
                          <a:noFill/>
                        </a:ln>
                      </wps:spPr>
                      <wps:style>
                        <a:lnRef idx="0"/>
                        <a:fillRef idx="0"/>
                        <a:effectRef idx="0"/>
                        <a:fontRef idx="minor"/>
                      </wps:style>
                      <wps:txb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wps:txbx>
                      <wps:bodyPr lIns="3240" rIns="3240" tIns="3240" bIns="3240" anchor="t">
                        <a:noAutofit/>
                      </wps:bodyPr>
                    </wps:wsp>
                  </a:graphicData>
                </a:graphic>
              </wp:anchor>
            </w:drawing>
          </mc:Choice>
          <mc:Fallback>
            <w:pict>
              <v:rect id="shape_0" ID="Врезка1" path="m0,0l-2147483645,0l-2147483645,-2147483646l0,-2147483646xe" fillcolor="white" stroked="f" o:allowincell="f" style="position:absolute;margin-left:19.6pt;margin-top:5pt;width:453.3pt;height:1.35pt;mso-wrap-style:square;v-text-anchor:top;mso-position-horizontal-relative:margin">
                <v:fill o:detectmouseclick="t" type="solid" color2="black" opacity="0"/>
                <v:stroke color="#3465a4" joinstyle="round" endcap="flat"/>
                <v:textbo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pPr>
                      <w:r>
                        <w:rPr/>
                        <w:t xml:space="preserve"> </w:t>
                      </w:r>
                    </w:p>
                  </w:txbxContent>
                </v:textbox>
                <w10:wrap type="square"/>
              </v:rect>
            </w:pict>
          </mc:Fallback>
        </mc:AlternateContent>
      </w:r>
    </w:p>
    <w:p>
      <w:pPr>
        <w:pStyle w:val="Formattext"/>
        <w:spacing w:before="0" w:after="0"/>
        <w:ind w:left="0" w:right="0" w:firstLine="480"/>
        <w:jc w:val="center"/>
        <w:rPr>
          <w:vanish/>
          <w:sz w:val="28"/>
          <w:szCs w:val="28"/>
        </w:rPr>
      </w:pPr>
      <w:r>
        <w:rPr>
          <w:vanish/>
          <w:sz w:val="28"/>
          <w:szCs w:val="28"/>
        </w:rPr>
      </w:r>
    </w:p>
    <w:p>
      <w:pPr>
        <w:pStyle w:val="Formattext"/>
        <w:spacing w:before="0" w:after="0"/>
        <w:ind w:left="0" w:right="0" w:firstLine="480"/>
        <w:jc w:val="center"/>
        <w:rPr>
          <w:vanish/>
          <w:sz w:val="28"/>
          <w:szCs w:val="28"/>
        </w:rPr>
      </w:pPr>
      <w:r>
        <w:rPr>
          <w:vanish/>
          <w:sz w:val="28"/>
          <w:szCs w:val="28"/>
        </w:rPr>
      </w:r>
    </w:p>
    <w:p>
      <w:pPr>
        <w:pStyle w:val="Normal"/>
        <w:ind w:left="0" w:right="0" w:firstLine="567"/>
        <w:jc w:val="center"/>
        <w:rPr>
          <w:rFonts w:ascii="PT Astra Serif" w:hAnsi="PT Astra Serif" w:cs="PT Astra Serif"/>
          <w:sz w:val="28"/>
          <w:szCs w:val="28"/>
        </w:rPr>
      </w:pPr>
      <w:r>
        <w:rPr>
          <w:rFonts w:cs="PT Astra Serif" w:ascii="Arimo" w:hAnsi="Arimo"/>
          <w:b w:val="false"/>
          <w:bCs w:val="false"/>
          <w:sz w:val="24"/>
          <w:szCs w:val="24"/>
        </w:rPr>
        <w:t xml:space="preserve">Об осуществлении муниципального  контроля в сфере благоустройства на территории муниципального образования «город Агрыз» </w:t>
      </w:r>
      <w:r>
        <w:rPr>
          <w:rFonts w:cs="PT Astra Serif" w:ascii="Arimo" w:hAnsi="Arimo"/>
          <w:b w:val="false"/>
          <w:bCs w:val="false"/>
          <w:iCs/>
          <w:color w:val="000000"/>
          <w:sz w:val="24"/>
          <w:szCs w:val="24"/>
          <w:lang w:eastAsia="zh-CN"/>
        </w:rPr>
        <w:t>Агрызского муниципального района Республики Татарстан</w:t>
      </w:r>
    </w:p>
    <w:p>
      <w:pPr>
        <w:pStyle w:val="Normal"/>
        <w:ind w:left="0" w:right="0" w:firstLine="567"/>
        <w:jc w:val="both"/>
        <w:rPr>
          <w:rFonts w:ascii="Arimo" w:hAnsi="Arimo" w:cs="PT Astra Serif"/>
          <w:b w:val="false"/>
          <w:bCs w:val="false"/>
          <w:sz w:val="24"/>
          <w:szCs w:val="24"/>
        </w:rPr>
      </w:pPr>
      <w:r>
        <w:rPr>
          <w:rFonts w:cs="PT Astra Serif" w:ascii="Arimo" w:hAnsi="Arimo"/>
          <w:b w:val="false"/>
          <w:bCs w:val="false"/>
          <w:sz w:val="24"/>
          <w:szCs w:val="24"/>
        </w:rPr>
      </w:r>
    </w:p>
    <w:p>
      <w:pPr>
        <w:pStyle w:val="Normal"/>
        <w:ind w:left="0" w:right="0" w:firstLine="567"/>
        <w:jc w:val="both"/>
        <w:rPr>
          <w:rFonts w:ascii="PT Astra Serif" w:hAnsi="PT Astra Serif" w:cs="PT Astra Serif"/>
          <w:sz w:val="28"/>
          <w:szCs w:val="28"/>
        </w:rPr>
      </w:pPr>
      <w:r>
        <w:rPr>
          <w:rFonts w:eastAsia="Calibri" w:cs="PT Astra Serif" w:ascii="Arimo" w:hAnsi="Arimo"/>
          <w:b w:val="false"/>
          <w:bCs w:val="false"/>
          <w:sz w:val="24"/>
          <w:szCs w:val="24"/>
          <w:lang w:eastAsia="en-US"/>
        </w:rPr>
        <w:t>В соответствии с Федеральным законом от 31 июля 2020 года № 248-ФЗ «О государственном контроле (надзоре) и муниципальном контроле в Российской Федерации»</w:t>
      </w:r>
      <w:r>
        <w:rPr>
          <w:rFonts w:cs="PT Astra Serif" w:ascii="Arimo" w:hAnsi="Arimo"/>
          <w:b w:val="false"/>
          <w:bCs w:val="false"/>
          <w:sz w:val="24"/>
          <w:szCs w:val="24"/>
        </w:rPr>
        <w:t xml:space="preserve">, от 6 октября 2003 года № 131-ФЗ «Об общих принципах организации местного самуоправления в Российской Федерации», Уставом </w:t>
      </w:r>
      <w:r>
        <w:rPr>
          <w:rFonts w:cs="PT Astra Serif" w:ascii="Arimo" w:hAnsi="Arimo"/>
          <w:b w:val="false"/>
          <w:bCs w:val="false"/>
          <w:color w:val="000000"/>
          <w:sz w:val="24"/>
          <w:szCs w:val="24"/>
          <w:shd w:fill="FFFFFF" w:val="clear"/>
        </w:rPr>
        <w:t xml:space="preserve">муниципального образования «город Агрыз» Агрызского муниципального района </w:t>
      </w:r>
      <w:r>
        <w:rPr>
          <w:rStyle w:val="Style19"/>
          <w:rFonts w:cs="PT Astra Serif" w:ascii="Arimo" w:hAnsi="Arimo"/>
          <w:b w:val="false"/>
          <w:bCs w:val="false"/>
          <w:i w:val="false"/>
          <w:iCs w:val="false"/>
          <w:color w:val="000000"/>
          <w:sz w:val="24"/>
          <w:szCs w:val="24"/>
        </w:rPr>
        <w:t xml:space="preserve">Республики Татарстан», </w:t>
      </w:r>
      <w:r>
        <w:rPr>
          <w:rFonts w:cs="PT Astra Serif" w:ascii="Arimo" w:hAnsi="Arimo"/>
          <w:b w:val="false"/>
          <w:bCs w:val="false"/>
          <w:iCs/>
          <w:color w:val="000000"/>
          <w:sz w:val="24"/>
          <w:szCs w:val="24"/>
          <w:lang w:eastAsia="zh-CN"/>
        </w:rPr>
        <w:t>Совет муниципального образования «город Агрыз» Агрызского муниципального района Республики Татарстан</w:t>
      </w:r>
      <w:r>
        <w:rPr>
          <w:rFonts w:cs="PT Astra Serif" w:ascii="Arimo" w:hAnsi="Arimo"/>
          <w:b w:val="false"/>
          <w:bCs w:val="false"/>
          <w:sz w:val="24"/>
          <w:szCs w:val="24"/>
        </w:rPr>
        <w:t xml:space="preserve"> </w:t>
      </w:r>
      <w:r>
        <w:rPr>
          <w:rFonts w:cs="PT Astra Serif" w:ascii="Arimo" w:hAnsi="Arimo"/>
          <w:b w:val="false"/>
          <w:bCs w:val="false"/>
          <w:sz w:val="24"/>
          <w:szCs w:val="24"/>
          <w:lang w:eastAsia="zh-CN"/>
        </w:rPr>
        <w:t>РЕШИЛ:</w:t>
      </w:r>
    </w:p>
    <w:p>
      <w:pPr>
        <w:pStyle w:val="Normal"/>
        <w:widowControl/>
        <w:numPr>
          <w:ilvl w:val="0"/>
          <w:numId w:val="2"/>
        </w:numPr>
        <w:tabs>
          <w:tab w:val="clear" w:pos="708"/>
          <w:tab w:val="left" w:pos="426" w:leader="none"/>
          <w:tab w:val="left" w:pos="900" w:leader="none"/>
        </w:tabs>
        <w:ind w:left="0" w:right="0" w:firstLine="567"/>
        <w:jc w:val="both"/>
        <w:textAlignment w:val="baseline"/>
        <w:rPr>
          <w:rFonts w:ascii="Arimo" w:hAnsi="Arimo" w:cs="PT Astra Serif"/>
          <w:b w:val="false"/>
          <w:bCs w:val="false"/>
          <w:sz w:val="24"/>
          <w:szCs w:val="24"/>
        </w:rPr>
      </w:pPr>
      <w:r>
        <w:rPr>
          <w:rFonts w:cs="PT Astra Serif" w:ascii="Arimo" w:hAnsi="Arimo"/>
          <w:b w:val="false"/>
          <w:bCs w:val="false"/>
          <w:sz w:val="24"/>
          <w:szCs w:val="24"/>
        </w:rPr>
        <w:t xml:space="preserve">Утвердить прилагаемые: </w:t>
      </w:r>
    </w:p>
    <w:p>
      <w:pPr>
        <w:pStyle w:val="Normal"/>
        <w:widowControl/>
        <w:tabs>
          <w:tab w:val="clear" w:pos="708"/>
          <w:tab w:val="left" w:pos="426" w:leader="none"/>
          <w:tab w:val="left" w:pos="900" w:leader="none"/>
        </w:tabs>
        <w:ind w:left="0" w:right="0" w:firstLine="567"/>
        <w:jc w:val="both"/>
        <w:textAlignment w:val="baseline"/>
        <w:rPr>
          <w:rFonts w:ascii="PT Astra Serif" w:hAnsi="PT Astra Serif" w:cs="PT Astra Serif"/>
          <w:iCs/>
          <w:color w:val="000000"/>
          <w:sz w:val="28"/>
          <w:szCs w:val="28"/>
          <w:shd w:fill="auto" w:val="clear"/>
          <w:lang w:eastAsia="zh-CN"/>
        </w:rPr>
      </w:pPr>
      <w:r>
        <w:rPr>
          <w:rFonts w:cs="PT Astra Serif" w:ascii="Arimo" w:hAnsi="Arimo"/>
          <w:b w:val="false"/>
          <w:bCs w:val="false"/>
          <w:sz w:val="24"/>
          <w:szCs w:val="24"/>
          <w:shd w:fill="auto" w:val="clear"/>
        </w:rPr>
        <w:t xml:space="preserve">1.1. Положение о муниципальном  контроле  в сфере благоустройства на территории </w:t>
      </w:r>
      <w:r>
        <w:rPr>
          <w:rFonts w:cs="PT Astra Serif" w:ascii="Arimo" w:hAnsi="Arimo"/>
          <w:b w:val="false"/>
          <w:bCs w:val="false"/>
          <w:iCs/>
          <w:color w:val="000000"/>
          <w:sz w:val="24"/>
          <w:szCs w:val="24"/>
          <w:shd w:fill="auto" w:val="clear"/>
          <w:lang w:eastAsia="zh-CN"/>
        </w:rPr>
        <w:t>муниципального образования «город Агрыз» Агрызского муниципального района Республики Татарстан;</w:t>
      </w:r>
    </w:p>
    <w:p>
      <w:pPr>
        <w:pStyle w:val="Normal"/>
        <w:widowControl/>
        <w:tabs>
          <w:tab w:val="clear" w:pos="708"/>
          <w:tab w:val="left" w:pos="426" w:leader="none"/>
          <w:tab w:val="left" w:pos="900" w:leader="none"/>
        </w:tabs>
        <w:ind w:left="0" w:right="0" w:firstLine="567"/>
        <w:jc w:val="both"/>
        <w:textAlignment w:val="baseline"/>
        <w:rPr>
          <w:rFonts w:ascii="PT Astra Serif" w:hAnsi="PT Astra Serif" w:cs="PT Astra Serif"/>
          <w:iCs/>
          <w:color w:val="000000"/>
          <w:sz w:val="28"/>
          <w:szCs w:val="28"/>
          <w:shd w:fill="auto" w:val="clear"/>
          <w:lang w:eastAsia="zh-CN"/>
        </w:rPr>
      </w:pPr>
      <w:r>
        <w:rPr>
          <w:rFonts w:cs="PT Astra Serif" w:ascii="Arimo" w:hAnsi="Arimo"/>
          <w:b w:val="false"/>
          <w:bCs w:val="false"/>
          <w:iCs/>
          <w:color w:val="000000"/>
          <w:sz w:val="24"/>
          <w:szCs w:val="24"/>
          <w:shd w:fill="auto" w:val="clear"/>
          <w:lang w:eastAsia="zh-CN"/>
        </w:rPr>
        <w:t xml:space="preserve">1.2. 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муниципального образования «город Агрыз» Агрызского муниципального района Республики Татарстан; </w:t>
      </w:r>
    </w:p>
    <w:p>
      <w:pPr>
        <w:pStyle w:val="Normal"/>
        <w:widowControl/>
        <w:tabs>
          <w:tab w:val="clear" w:pos="708"/>
          <w:tab w:val="left" w:pos="426" w:leader="none"/>
          <w:tab w:val="left" w:pos="900" w:leader="none"/>
        </w:tabs>
        <w:ind w:left="0" w:right="0" w:firstLine="567"/>
        <w:jc w:val="both"/>
        <w:textAlignment w:val="baseline"/>
        <w:rPr>
          <w:rFonts w:ascii="PT Astra Serif" w:hAnsi="PT Astra Serif" w:cs="PT Astra Serif"/>
          <w:sz w:val="28"/>
          <w:szCs w:val="28"/>
        </w:rPr>
      </w:pPr>
      <w:r>
        <w:rPr>
          <w:rFonts w:cs="PT Astra Serif" w:ascii="Arimo" w:hAnsi="Arimo"/>
          <w:b w:val="false"/>
          <w:bCs w:val="false"/>
          <w:iCs/>
          <w:color w:val="000000"/>
          <w:sz w:val="24"/>
          <w:szCs w:val="24"/>
          <w:shd w:fill="auto" w:val="clear"/>
          <w:lang w:eastAsia="zh-CN"/>
        </w:rPr>
        <w:t xml:space="preserve">1.3. Перечень ключевых и индикативных показателей муниципального  контроля в сфере благоустройства </w:t>
      </w:r>
      <w:r>
        <w:rPr>
          <w:rStyle w:val="SubtleEmphasis"/>
          <w:rFonts w:eastAsia="Calibri" w:cs="PT Astra Serif" w:ascii="Arimo" w:hAnsi="Arimo"/>
          <w:b w:val="false"/>
          <w:bCs w:val="false"/>
          <w:i w:val="false"/>
          <w:color w:val="000000"/>
          <w:sz w:val="24"/>
          <w:szCs w:val="24"/>
          <w:shd w:fill="auto" w:val="clear"/>
          <w:lang w:eastAsia="zh-CN"/>
        </w:rPr>
        <w:t xml:space="preserve">на территории </w:t>
      </w:r>
      <w:r>
        <w:rPr>
          <w:rStyle w:val="SubtleEmphasis"/>
          <w:rFonts w:eastAsia="Calibri" w:cs="PT Astra Serif" w:ascii="Arimo" w:hAnsi="Arimo"/>
          <w:b w:val="false"/>
          <w:bCs w:val="false"/>
          <w:i w:val="false"/>
          <w:iCs/>
          <w:color w:val="000000"/>
          <w:sz w:val="24"/>
          <w:szCs w:val="24"/>
          <w:shd w:fill="auto" w:val="clear"/>
          <w:lang w:eastAsia="zh-CN"/>
        </w:rPr>
        <w:t xml:space="preserve">муниципального образования «город Агрыз» Агрызского муниципального района Республики Татарстан </w:t>
      </w:r>
      <w:r>
        <w:rPr>
          <w:rFonts w:cs="PT Astra Serif" w:ascii="Arimo" w:hAnsi="Arimo"/>
          <w:b w:val="false"/>
          <w:bCs w:val="false"/>
          <w:iCs/>
          <w:color w:val="000000"/>
          <w:sz w:val="24"/>
          <w:szCs w:val="24"/>
          <w:shd w:fill="auto" w:val="clear"/>
          <w:lang w:eastAsia="zh-CN"/>
        </w:rPr>
        <w:t xml:space="preserve">. </w:t>
      </w:r>
    </w:p>
    <w:p>
      <w:pPr>
        <w:pStyle w:val="Normal"/>
        <w:numPr>
          <w:ilvl w:val="0"/>
          <w:numId w:val="2"/>
        </w:numPr>
        <w:tabs>
          <w:tab w:val="clear" w:pos="708"/>
          <w:tab w:val="left" w:pos="900" w:leader="none"/>
          <w:tab w:val="left" w:pos="1410" w:leader="none"/>
        </w:tabs>
        <w:ind w:left="0" w:right="0" w:firstLine="567"/>
        <w:jc w:val="both"/>
        <w:outlineLvl w:val="0"/>
        <w:rPr>
          <w:rFonts w:ascii="Arimo" w:hAnsi="Arimo"/>
          <w:b w:val="false"/>
          <w:bCs w:val="false"/>
          <w:sz w:val="24"/>
          <w:szCs w:val="24"/>
        </w:rPr>
      </w:pPr>
      <w:r>
        <w:rPr>
          <w:rFonts w:cs="PT Astra Serif" w:ascii="Arimo" w:hAnsi="Arimo"/>
          <w:b w:val="false"/>
          <w:bCs w:val="false"/>
          <w:sz w:val="24"/>
          <w:szCs w:val="24"/>
        </w:rPr>
        <w:t xml:space="preserve">Признать утратившими силу следующие решения Совета </w:t>
      </w:r>
      <w:r>
        <w:rPr>
          <w:rFonts w:cs="PT Astra Serif" w:ascii="Arimo" w:hAnsi="Arimo"/>
          <w:b w:val="false"/>
          <w:bCs w:val="false"/>
          <w:iCs/>
          <w:color w:val="000000"/>
          <w:sz w:val="24"/>
          <w:szCs w:val="24"/>
          <w:lang w:eastAsia="zh-CN"/>
        </w:rPr>
        <w:t xml:space="preserve">муниципального образования «город Агрыз» Агрызского муниципального района Республики Татарстан: </w:t>
      </w:r>
    </w:p>
    <w:p>
      <w:pPr>
        <w:pStyle w:val="Normal"/>
        <w:numPr>
          <w:ilvl w:val="0"/>
          <w:numId w:val="0"/>
        </w:numPr>
        <w:tabs>
          <w:tab w:val="clear" w:pos="708"/>
          <w:tab w:val="left" w:pos="900" w:leader="none"/>
          <w:tab w:val="left" w:pos="1410" w:leader="none"/>
        </w:tabs>
        <w:ind w:left="0" w:right="0" w:hanging="0"/>
        <w:jc w:val="both"/>
        <w:outlineLvl w:val="0"/>
        <w:rPr>
          <w:rFonts w:ascii="PT Astra Serif" w:hAnsi="PT Astra Serif" w:cs="PT Astra Serif"/>
          <w:iCs/>
          <w:color w:val="000000"/>
          <w:sz w:val="28"/>
          <w:szCs w:val="28"/>
          <w:lang w:eastAsia="zh-CN"/>
        </w:rPr>
      </w:pPr>
      <w:r>
        <w:rPr>
          <w:rFonts w:cs="PT Astra Serif" w:ascii="Arimo" w:hAnsi="Arimo"/>
          <w:b w:val="false"/>
          <w:bCs w:val="false"/>
          <w:iCs/>
          <w:color w:val="000000"/>
          <w:sz w:val="24"/>
          <w:szCs w:val="24"/>
          <w:lang w:eastAsia="zh-CN"/>
        </w:rPr>
        <w:t>- от 21.12.2021 № 14-4</w:t>
      </w:r>
      <w:r>
        <w:rPr>
          <w:rFonts w:cs="PT Astra Serif" w:ascii="Arimo" w:hAnsi="Arimo"/>
          <w:b w:val="false"/>
          <w:bCs w:val="false"/>
          <w:sz w:val="24"/>
          <w:szCs w:val="24"/>
        </w:rPr>
        <w:t xml:space="preserve"> «Об осуществлении муниципального контроля </w:t>
      </w:r>
      <w:r>
        <w:rPr>
          <w:rFonts w:cs="PT Astra Serif" w:ascii="Arimo" w:hAnsi="Arimo"/>
          <w:b w:val="false"/>
          <w:bCs w:val="false"/>
          <w:spacing w:val="2"/>
          <w:sz w:val="24"/>
          <w:szCs w:val="24"/>
        </w:rPr>
        <w:t xml:space="preserve">в сфере благоустройства </w:t>
      </w:r>
      <w:r>
        <w:rPr>
          <w:rFonts w:cs="PT Astra Serif" w:ascii="Arimo" w:hAnsi="Arimo"/>
          <w:b w:val="false"/>
          <w:bCs w:val="false"/>
          <w:color w:val="000000"/>
          <w:sz w:val="24"/>
          <w:szCs w:val="24"/>
        </w:rPr>
        <w:t xml:space="preserve">на территории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lang w:eastAsia="zh-CN"/>
        </w:rPr>
        <w:t>Агрызского муниципального района Республики Татарстан»;</w:t>
      </w:r>
    </w:p>
    <w:p>
      <w:pPr>
        <w:pStyle w:val="Normal"/>
        <w:numPr>
          <w:ilvl w:val="0"/>
          <w:numId w:val="0"/>
        </w:numPr>
        <w:tabs>
          <w:tab w:val="clear" w:pos="708"/>
          <w:tab w:val="left" w:pos="900" w:leader="none"/>
          <w:tab w:val="left" w:pos="1410" w:leader="none"/>
        </w:tabs>
        <w:ind w:left="0" w:right="0" w:hanging="0"/>
        <w:jc w:val="both"/>
        <w:outlineLvl w:val="0"/>
        <w:rPr>
          <w:rFonts w:ascii="PT Astra Serif" w:hAnsi="PT Astra Serif" w:cs="PT Astra Serif"/>
          <w:iCs/>
          <w:color w:val="000000"/>
          <w:sz w:val="28"/>
          <w:szCs w:val="28"/>
          <w:lang w:eastAsia="zh-CN"/>
        </w:rPr>
      </w:pPr>
      <w:r>
        <w:rPr>
          <w:rFonts w:cs="PT Astra Serif" w:ascii="Arimo" w:hAnsi="Arimo"/>
          <w:b w:val="false"/>
          <w:bCs w:val="false"/>
          <w:iCs/>
          <w:color w:val="000000"/>
          <w:sz w:val="24"/>
          <w:szCs w:val="24"/>
          <w:lang w:eastAsia="zh-CN"/>
        </w:rPr>
        <w:t>- от 25.02.2022 № 16-2</w:t>
      </w:r>
      <w:r>
        <w:rPr>
          <w:rFonts w:cs="PT Astra Serif" w:ascii="Arimo" w:hAnsi="Arimo"/>
          <w:b w:val="false"/>
          <w:bCs w:val="false"/>
          <w:iCs/>
          <w:color w:val="000000"/>
          <w:sz w:val="24"/>
          <w:szCs w:val="24"/>
        </w:rPr>
        <w:t xml:space="preserve"> «О внесении изменений в некоторые решения Совета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rPr>
        <w:t xml:space="preserve">Агрызского муниципального района Республики Татарстан об осуществлении муниципального контроля на территории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rPr>
        <w:t>Агрызского муниципального района Республики Татарстан</w:t>
      </w:r>
      <w:r>
        <w:rPr>
          <w:rFonts w:cs="PT Astra Serif" w:ascii="Arimo" w:hAnsi="Arimo"/>
          <w:b w:val="false"/>
          <w:bCs w:val="false"/>
          <w:iCs/>
          <w:color w:val="000000"/>
          <w:sz w:val="24"/>
          <w:szCs w:val="24"/>
          <w:lang w:eastAsia="zh-CN"/>
        </w:rPr>
        <w:t>»;</w:t>
      </w:r>
    </w:p>
    <w:p>
      <w:pPr>
        <w:pStyle w:val="Normal"/>
        <w:numPr>
          <w:ilvl w:val="0"/>
          <w:numId w:val="0"/>
        </w:numPr>
        <w:tabs>
          <w:tab w:val="clear" w:pos="708"/>
          <w:tab w:val="left" w:pos="900" w:leader="none"/>
          <w:tab w:val="left" w:pos="1410" w:leader="none"/>
        </w:tabs>
        <w:ind w:left="0" w:right="0" w:hanging="0"/>
        <w:jc w:val="both"/>
        <w:outlineLvl w:val="0"/>
        <w:rPr>
          <w:rFonts w:ascii="PT Astra Serif" w:hAnsi="PT Astra Serif" w:cs="PT Astra Serif"/>
          <w:iCs/>
          <w:color w:val="000000"/>
          <w:sz w:val="28"/>
          <w:szCs w:val="28"/>
          <w:lang w:eastAsia="zh-CN"/>
        </w:rPr>
      </w:pPr>
      <w:r>
        <w:rPr>
          <w:rFonts w:cs="PT Astra Serif" w:ascii="Arimo" w:hAnsi="Arimo"/>
          <w:b w:val="false"/>
          <w:bCs w:val="false"/>
          <w:iCs/>
          <w:color w:val="000000"/>
          <w:sz w:val="24"/>
          <w:szCs w:val="24"/>
          <w:lang w:eastAsia="zh-CN"/>
        </w:rPr>
        <w:t>- от 30.05.2023 № 27-5</w:t>
      </w:r>
      <w:r>
        <w:rPr>
          <w:rFonts w:cs="PT Astra Serif" w:ascii="Arimo" w:hAnsi="Arimo"/>
          <w:b w:val="false"/>
          <w:bCs w:val="false"/>
          <w:iCs/>
          <w:color w:val="000000"/>
          <w:sz w:val="24"/>
          <w:szCs w:val="24"/>
        </w:rPr>
        <w:t xml:space="preserve"> «О внесении изменений в некоторые решения Совета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rPr>
        <w:t xml:space="preserve">Агрызского муниципального района Республики Татарстан об осуществлении муниципального контроля на территории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rPr>
        <w:t>Агрызского муниципального района Республики Татарстан</w:t>
      </w:r>
      <w:r>
        <w:rPr>
          <w:rFonts w:cs="PT Astra Serif" w:ascii="Arimo" w:hAnsi="Arimo"/>
          <w:b w:val="false"/>
          <w:bCs w:val="false"/>
          <w:iCs/>
          <w:color w:val="000000"/>
          <w:sz w:val="24"/>
          <w:szCs w:val="24"/>
          <w:lang w:eastAsia="zh-CN"/>
        </w:rPr>
        <w:t>»;</w:t>
      </w:r>
    </w:p>
    <w:p>
      <w:pPr>
        <w:pStyle w:val="Normal"/>
        <w:numPr>
          <w:ilvl w:val="0"/>
          <w:numId w:val="0"/>
        </w:numPr>
        <w:tabs>
          <w:tab w:val="clear" w:pos="708"/>
          <w:tab w:val="left" w:pos="900" w:leader="none"/>
          <w:tab w:val="left" w:pos="1410" w:leader="none"/>
        </w:tabs>
        <w:ind w:left="0" w:right="0" w:hanging="0"/>
        <w:jc w:val="both"/>
        <w:outlineLvl w:val="0"/>
        <w:rPr>
          <w:rFonts w:ascii="PT Astra Serif" w:hAnsi="PT Astra Serif" w:cs="PT Astra Serif"/>
          <w:bCs/>
          <w:iCs/>
          <w:color w:val="000000"/>
          <w:sz w:val="28"/>
          <w:szCs w:val="28"/>
          <w:shd w:fill="FFFFFF" w:val="clear"/>
          <w:lang w:eastAsia="zh-CN"/>
        </w:rPr>
      </w:pPr>
      <w:r>
        <w:rPr>
          <w:rFonts w:cs="PT Astra Serif" w:ascii="Arimo" w:hAnsi="Arimo"/>
          <w:b w:val="false"/>
          <w:bCs w:val="false"/>
          <w:iCs/>
          <w:color w:val="000000"/>
          <w:sz w:val="24"/>
          <w:szCs w:val="24"/>
          <w:lang w:eastAsia="zh-CN"/>
        </w:rPr>
        <w:t xml:space="preserve">- </w:t>
      </w:r>
      <w:r>
        <w:rPr>
          <w:rFonts w:cs="PT Astra Serif" w:ascii="Arimo" w:hAnsi="Arimo"/>
          <w:b w:val="false"/>
          <w:bCs w:val="false"/>
          <w:iCs/>
          <w:color w:val="000000"/>
          <w:sz w:val="24"/>
          <w:szCs w:val="24"/>
          <w:shd w:fill="FFFFFF" w:val="clear"/>
          <w:lang w:eastAsia="zh-CN"/>
        </w:rPr>
        <w:t xml:space="preserve">от 29.11.2023 № 31-5 «О внесении изменений в некоторые решения Совета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shd w:fill="FFFFFF" w:val="clear"/>
          <w:lang w:eastAsia="zh-CN"/>
        </w:rPr>
        <w:t xml:space="preserve">Агрызского муниципального района Республики Татарстан об осуществлении муниципального контроля на территории </w:t>
      </w:r>
      <w:r>
        <w:rPr>
          <w:rFonts w:cs="PT Astra Serif" w:ascii="Arimo" w:hAnsi="Arimo"/>
          <w:b w:val="false"/>
          <w:bCs w:val="false"/>
          <w:iCs/>
          <w:color w:val="000000"/>
          <w:sz w:val="24"/>
          <w:szCs w:val="24"/>
          <w:shd w:fill="auto" w:val="clear"/>
          <w:lang w:eastAsia="zh-CN"/>
        </w:rPr>
        <w:t xml:space="preserve">муниципального образования «город Агрыз» </w:t>
      </w:r>
      <w:r>
        <w:rPr>
          <w:rFonts w:cs="PT Astra Serif" w:ascii="Arimo" w:hAnsi="Arimo"/>
          <w:b w:val="false"/>
          <w:bCs w:val="false"/>
          <w:iCs/>
          <w:color w:val="000000"/>
          <w:sz w:val="24"/>
          <w:szCs w:val="24"/>
          <w:shd w:fill="FFFFFF" w:val="clear"/>
          <w:lang w:eastAsia="zh-CN"/>
        </w:rPr>
        <w:t>Агрызского муниципального района Республики Татарстан»;</w:t>
      </w:r>
    </w:p>
    <w:p>
      <w:pPr>
        <w:pStyle w:val="Normal"/>
        <w:numPr>
          <w:ilvl w:val="0"/>
          <w:numId w:val="0"/>
        </w:numPr>
        <w:tabs>
          <w:tab w:val="clear" w:pos="708"/>
          <w:tab w:val="left" w:pos="900" w:leader="none"/>
          <w:tab w:val="left" w:pos="1410" w:leader="none"/>
        </w:tabs>
        <w:ind w:left="0" w:right="0" w:hanging="0"/>
        <w:jc w:val="both"/>
        <w:outlineLvl w:val="0"/>
        <w:rPr>
          <w:rFonts w:ascii="PT Astra Serif" w:hAnsi="PT Astra Serif" w:cs="PT Astra Serif"/>
          <w:bCs/>
          <w:color w:val="000000"/>
          <w:sz w:val="28"/>
          <w:szCs w:val="28"/>
        </w:rPr>
      </w:pPr>
      <w:r>
        <w:rPr>
          <w:rFonts w:cs="PT Astra Serif" w:ascii="Arimo" w:hAnsi="Arimo"/>
          <w:b w:val="false"/>
          <w:bCs w:val="false"/>
          <w:iCs/>
          <w:color w:val="000000"/>
          <w:sz w:val="24"/>
          <w:szCs w:val="24"/>
          <w:shd w:fill="FFFFFF" w:val="clear"/>
          <w:lang w:eastAsia="zh-CN"/>
        </w:rPr>
        <w:t>- от 22.05.2024 № 36-2 «О внесении изменений в решение Совета муниципального образования «город Агрыз» Агрызского муниципального района Республики Татарстан от 21.12.2021 № 14-4 «Об осуществлении  муниципального контроля в сфере благоустройства на территории муниципального образования «город Агрыз» Агрызского муниципального района Республики Татарстан»</w:t>
      </w:r>
      <w:r>
        <w:rPr>
          <w:rFonts w:cs="PT Astra Serif" w:ascii="Arimo" w:hAnsi="Arimo"/>
          <w:b w:val="false"/>
          <w:bCs w:val="false"/>
          <w:iCs/>
          <w:color w:val="000000"/>
          <w:sz w:val="24"/>
          <w:szCs w:val="24"/>
          <w:lang w:eastAsia="zh-CN"/>
        </w:rPr>
        <w:t>.</w:t>
      </w:r>
    </w:p>
    <w:p>
      <w:pPr>
        <w:pStyle w:val="ConsPlusNormal"/>
        <w:numPr>
          <w:ilvl w:val="0"/>
          <w:numId w:val="2"/>
        </w:numPr>
        <w:tabs>
          <w:tab w:val="clear" w:pos="708"/>
          <w:tab w:val="left" w:pos="426" w:leader="none"/>
          <w:tab w:val="left" w:pos="851" w:leader="none"/>
          <w:tab w:val="left" w:pos="1276" w:leader="none"/>
        </w:tabs>
        <w:ind w:left="0" w:right="0" w:firstLine="567"/>
        <w:jc w:val="both"/>
        <w:rPr/>
      </w:pPr>
      <w:r>
        <w:rPr>
          <w:rFonts w:cs="PT Astra Serif" w:ascii="Arimo" w:hAnsi="Arimo"/>
          <w:b w:val="false"/>
          <w:bCs w:val="false"/>
          <w:color w:val="000000"/>
          <w:sz w:val="24"/>
          <w:szCs w:val="24"/>
        </w:rPr>
        <w:t>Опубликовать настоящее решение на официальном портале правовой информации Республики Татарстан (</w:t>
      </w:r>
      <w:hyperlink r:id="rId2">
        <w:r>
          <w:rPr>
            <w:rStyle w:val="-"/>
            <w:rFonts w:cs="PT Astra Serif" w:ascii="Arimo" w:hAnsi="Arimo"/>
            <w:b w:val="false"/>
            <w:bCs w:val="false"/>
            <w:color w:val="000000"/>
            <w:sz w:val="24"/>
            <w:szCs w:val="24"/>
            <w:u w:val="none"/>
          </w:rPr>
          <w:t>https://pravo.tatarstan.ru</w:t>
        </w:r>
      </w:hyperlink>
      <w:r>
        <w:rPr>
          <w:rFonts w:cs="PT Astra Serif" w:ascii="Arimo" w:hAnsi="Arimo"/>
          <w:b w:val="false"/>
          <w:bCs w:val="false"/>
          <w:color w:val="000000"/>
          <w:sz w:val="24"/>
          <w:szCs w:val="24"/>
        </w:rPr>
        <w:t>) и разместить на официальном сайте Агрызского муниципального района в составе портала муниципальных образований Республики Татарстан (https://agryz.tatarstan.ru) в информационно-телекоммуникационной сети «Интернет»</w:t>
      </w:r>
      <w:r>
        <w:rPr>
          <w:rFonts w:cs="PT Astra Serif" w:ascii="Arimo" w:hAnsi="Arimo"/>
          <w:b w:val="false"/>
          <w:bCs w:val="false"/>
          <w:i/>
          <w:color w:val="000000"/>
          <w:sz w:val="24"/>
          <w:szCs w:val="24"/>
        </w:rPr>
        <w:t>.</w:t>
      </w:r>
    </w:p>
    <w:p>
      <w:pPr>
        <w:pStyle w:val="Normal"/>
        <w:rPr>
          <w:rFonts w:ascii="Arimo" w:hAnsi="Arimo"/>
          <w:b w:val="false"/>
          <w:bCs w:val="false"/>
          <w:color w:val="000000"/>
          <w:sz w:val="24"/>
          <w:szCs w:val="24"/>
        </w:rPr>
      </w:pPr>
      <w:r>
        <w:rPr>
          <w:rFonts w:ascii="Arimo" w:hAnsi="Arimo"/>
          <w:b w:val="false"/>
          <w:bCs w:val="false"/>
          <w:color w:val="000000"/>
          <w:sz w:val="24"/>
          <w:szCs w:val="24"/>
        </w:rPr>
      </w:r>
    </w:p>
    <w:p>
      <w:pPr>
        <w:pStyle w:val="Normal"/>
        <w:spacing w:lineRule="auto" w:line="360"/>
        <w:jc w:val="both"/>
        <w:rPr>
          <w:rFonts w:ascii="Arimo" w:hAnsi="Arimo"/>
          <w:b w:val="false"/>
          <w:bCs w:val="false"/>
          <w:color w:val="000000"/>
          <w:sz w:val="24"/>
          <w:szCs w:val="24"/>
        </w:rPr>
      </w:pPr>
      <w:r>
        <w:rPr>
          <w:rFonts w:ascii="Arimo" w:hAnsi="Arimo"/>
          <w:b w:val="false"/>
          <w:bCs w:val="false"/>
          <w:color w:val="000000"/>
          <w:sz w:val="24"/>
          <w:szCs w:val="24"/>
        </w:rPr>
      </w:r>
    </w:p>
    <w:p>
      <w:pPr>
        <w:pStyle w:val="Normal"/>
        <w:jc w:val="both"/>
        <w:rPr>
          <w:sz w:val="28"/>
          <w:szCs w:val="28"/>
        </w:rPr>
      </w:pPr>
      <w:r>
        <w:rPr>
          <w:rFonts w:ascii="Arimo" w:hAnsi="Arimo"/>
          <w:b w:val="false"/>
          <w:bCs w:val="false"/>
          <w:sz w:val="24"/>
          <w:szCs w:val="24"/>
        </w:rPr>
        <w:t xml:space="preserve">Председатель Совета, </w:t>
      </w:r>
    </w:p>
    <w:p>
      <w:pPr>
        <w:pStyle w:val="Normal"/>
        <w:jc w:val="both"/>
        <w:rPr>
          <w:sz w:val="28"/>
          <w:szCs w:val="28"/>
        </w:rPr>
      </w:pPr>
      <w:r>
        <w:rPr>
          <w:rFonts w:ascii="Arimo" w:hAnsi="Arimo"/>
          <w:b w:val="false"/>
          <w:bCs w:val="false"/>
          <w:sz w:val="24"/>
          <w:szCs w:val="24"/>
        </w:rPr>
        <w:t>Глава муниципального образования                                                   Л.Ф. Нургаянов</w:t>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p>
      <w:pPr>
        <w:pStyle w:val="Normal"/>
        <w:spacing w:lineRule="auto" w:line="360"/>
        <w:ind w:left="426" w:right="0" w:hanging="0"/>
        <w:jc w:val="both"/>
        <w:rPr>
          <w:rFonts w:ascii="Arimo" w:hAnsi="Arimo"/>
          <w:b w:val="false"/>
          <w:bCs w:val="false"/>
          <w:sz w:val="24"/>
          <w:szCs w:val="24"/>
        </w:rPr>
      </w:pPr>
      <w:r>
        <w:rPr>
          <w:rFonts w:ascii="Arimo" w:hAnsi="Arimo"/>
          <w:b w:val="false"/>
          <w:bCs w:val="false"/>
          <w:sz w:val="24"/>
          <w:szCs w:val="24"/>
        </w:rPr>
      </w:r>
    </w:p>
    <w:tbl>
      <w:tblPr>
        <w:tblW w:w="5000" w:type="pct"/>
        <w:jc w:val="left"/>
        <w:tblInd w:w="0" w:type="dxa"/>
        <w:tblLayout w:type="fixed"/>
        <w:tblCellMar>
          <w:top w:w="0" w:type="dxa"/>
          <w:left w:w="0" w:type="dxa"/>
          <w:bottom w:w="0" w:type="dxa"/>
          <w:right w:w="0" w:type="dxa"/>
        </w:tblCellMar>
      </w:tblPr>
      <w:tblGrid>
        <w:gridCol w:w="5951"/>
        <w:gridCol w:w="4141"/>
      </w:tblGrid>
      <w:tr>
        <w:trPr/>
        <w:tc>
          <w:tcPr>
            <w:tcW w:w="5951" w:type="dxa"/>
            <w:tcBorders/>
          </w:tcPr>
          <w:p>
            <w:pPr>
              <w:pStyle w:val="Style46"/>
              <w:widowControl w:val="false"/>
              <w:snapToGrid w:val="false"/>
              <w:jc w:val="center"/>
              <w:rPr>
                <w:rFonts w:ascii="Arimo" w:hAnsi="Arimo"/>
                <w:b w:val="false"/>
                <w:bCs w:val="false"/>
                <w:sz w:val="24"/>
                <w:szCs w:val="24"/>
              </w:rPr>
            </w:pPr>
            <w:r>
              <w:rPr>
                <w:rFonts w:ascii="Arimo" w:hAnsi="Arimo"/>
                <w:b w:val="false"/>
                <w:bCs w:val="false"/>
                <w:sz w:val="24"/>
                <w:szCs w:val="24"/>
              </w:rPr>
            </w:r>
          </w:p>
        </w:tc>
        <w:tc>
          <w:tcPr>
            <w:tcW w:w="4141" w:type="dxa"/>
            <w:tcBorders/>
          </w:tcPr>
          <w:p>
            <w:pPr>
              <w:pStyle w:val="Style46"/>
              <w:widowControl w:val="false"/>
              <w:jc w:val="both"/>
              <w:rPr>
                <w:sz w:val="24"/>
                <w:szCs w:val="24"/>
              </w:rPr>
            </w:pPr>
            <w:r>
              <w:rPr>
                <w:rFonts w:ascii="Arimo" w:hAnsi="Arimo"/>
                <w:b w:val="false"/>
                <w:bCs w:val="false"/>
                <w:sz w:val="24"/>
                <w:szCs w:val="24"/>
              </w:rPr>
              <w:t>Утверждено</w:t>
            </w:r>
          </w:p>
          <w:p>
            <w:pPr>
              <w:pStyle w:val="Style46"/>
              <w:widowControl w:val="false"/>
              <w:jc w:val="both"/>
              <w:rPr>
                <w:sz w:val="24"/>
                <w:szCs w:val="24"/>
              </w:rPr>
            </w:pPr>
            <w:r>
              <w:rPr>
                <w:rFonts w:ascii="Arimo" w:hAnsi="Arimo"/>
                <w:b w:val="false"/>
                <w:bCs w:val="false"/>
                <w:sz w:val="24"/>
                <w:szCs w:val="24"/>
              </w:rPr>
              <w:t>решением Совета муниципального</w:t>
            </w:r>
          </w:p>
          <w:p>
            <w:pPr>
              <w:pStyle w:val="Style46"/>
              <w:widowControl w:val="false"/>
              <w:jc w:val="both"/>
              <w:rPr>
                <w:sz w:val="24"/>
                <w:szCs w:val="24"/>
              </w:rPr>
            </w:pPr>
            <w:r>
              <w:rPr>
                <w:rFonts w:ascii="Arimo" w:hAnsi="Arimo"/>
                <w:b w:val="false"/>
                <w:bCs w:val="false"/>
                <w:sz w:val="24"/>
                <w:szCs w:val="24"/>
              </w:rPr>
              <w:t>образования «город Агрыз»</w:t>
            </w:r>
          </w:p>
          <w:p>
            <w:pPr>
              <w:pStyle w:val="Style46"/>
              <w:widowControl w:val="false"/>
              <w:jc w:val="both"/>
              <w:rPr>
                <w:sz w:val="24"/>
                <w:szCs w:val="24"/>
              </w:rPr>
            </w:pPr>
            <w:r>
              <w:rPr>
                <w:rFonts w:ascii="Arimo" w:hAnsi="Arimo"/>
                <w:b w:val="false"/>
                <w:bCs w:val="false"/>
                <w:sz w:val="24"/>
                <w:szCs w:val="24"/>
              </w:rPr>
              <w:t>Агрызского муниципального района</w:t>
            </w:r>
          </w:p>
          <w:p>
            <w:pPr>
              <w:pStyle w:val="Style46"/>
              <w:widowControl w:val="false"/>
              <w:jc w:val="both"/>
              <w:rPr>
                <w:sz w:val="24"/>
                <w:szCs w:val="24"/>
              </w:rPr>
            </w:pPr>
            <w:r>
              <w:rPr>
                <w:rFonts w:ascii="Arimo" w:hAnsi="Arimo"/>
                <w:b w:val="false"/>
                <w:bCs w:val="false"/>
                <w:sz w:val="24"/>
                <w:szCs w:val="24"/>
              </w:rPr>
              <w:t>Республики Татарстан</w:t>
            </w:r>
          </w:p>
          <w:p>
            <w:pPr>
              <w:pStyle w:val="Style46"/>
              <w:widowControl w:val="false"/>
              <w:jc w:val="both"/>
              <w:rPr>
                <w:rFonts w:ascii="Arimo" w:hAnsi="Arimo"/>
                <w:b w:val="false"/>
                <w:bCs w:val="false"/>
                <w:sz w:val="24"/>
                <w:szCs w:val="24"/>
              </w:rPr>
            </w:pPr>
            <w:r>
              <w:rPr>
                <w:rFonts w:ascii="Arimo" w:hAnsi="Arimo"/>
                <w:b w:val="false"/>
                <w:bCs w:val="false"/>
                <w:sz w:val="24"/>
                <w:szCs w:val="24"/>
              </w:rPr>
              <w:t>от 29.05.2025 № 43-3</w:t>
            </w:r>
          </w:p>
        </w:tc>
      </w:tr>
    </w:tbl>
    <w:p>
      <w:pPr>
        <w:pStyle w:val="ConsPlusTitle"/>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ConsPlusTitle"/>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ConsPlusTitle"/>
        <w:jc w:val="center"/>
        <w:rPr>
          <w:rFonts w:ascii="DejaVu Math TeX Gyre" w:hAnsi="DejaVu Math TeX Gyre" w:cs="DejaVu Math TeX Gyre"/>
          <w:bCs/>
          <w:sz w:val="28"/>
          <w:szCs w:val="28"/>
        </w:rPr>
      </w:pPr>
      <w:r>
        <w:rPr>
          <w:rFonts w:cs="DejaVu Math TeX Gyre" w:ascii="Arimo" w:hAnsi="Arimo"/>
          <w:b w:val="false"/>
          <w:bCs w:val="false"/>
          <w:sz w:val="24"/>
          <w:szCs w:val="24"/>
        </w:rPr>
        <w:t>ПОЛОЖЕНИЕ</w:t>
      </w:r>
      <w:bookmarkStart w:id="0" w:name="_Hlk73456502"/>
      <w:r>
        <w:rPr>
          <w:rFonts w:cs="DejaVu Math TeX Gyre" w:ascii="Arimo" w:hAnsi="Arimo"/>
          <w:b w:val="false"/>
          <w:bCs w:val="false"/>
          <w:sz w:val="24"/>
          <w:szCs w:val="24"/>
        </w:rPr>
        <w:t xml:space="preserve"> </w:t>
        <w:br/>
      </w:r>
      <w:bookmarkEnd w:id="0"/>
      <w:r>
        <w:rPr>
          <w:rFonts w:cs="DejaVu Math TeX Gyre" w:ascii="Arimo" w:hAnsi="Arimo"/>
          <w:b w:val="false"/>
          <w:bCs w:val="false"/>
          <w:sz w:val="24"/>
          <w:szCs w:val="24"/>
        </w:rPr>
        <w:t xml:space="preserve">о муниципальном  контроле в сфере благоустройства на территории </w:t>
      </w:r>
      <w:r>
        <w:rPr>
          <w:rFonts w:cs="DejaVu Math TeX Gyre" w:ascii="Arimo" w:hAnsi="Arimo"/>
          <w:b w:val="false"/>
          <w:bCs w:val="false"/>
          <w:iCs/>
          <w:color w:val="000000"/>
          <w:sz w:val="24"/>
          <w:szCs w:val="24"/>
          <w:lang w:eastAsia="zh-CN"/>
        </w:rPr>
        <w:t>муниципального образования «город Агрыз» Агрызского муниципального района Республики Татарстан</w:t>
      </w:r>
    </w:p>
    <w:p>
      <w:pPr>
        <w:pStyle w:val="ConsPlusNormal"/>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1.Общие положения</w:t>
      </w:r>
    </w:p>
    <w:p>
      <w:pPr>
        <w:pStyle w:val="ConsPlusNormal"/>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Pr>
          <w:rFonts w:cs="DejaVu Math TeX Gyre" w:ascii="Arimo" w:hAnsi="Arimo"/>
          <w:b w:val="false"/>
          <w:bCs w:val="false"/>
          <w:iCs/>
          <w:color w:val="000000"/>
          <w:sz w:val="24"/>
          <w:szCs w:val="24"/>
          <w:lang w:eastAsia="zh-CN"/>
        </w:rPr>
        <w:t xml:space="preserve">муниципального образования «город Агрыз» </w:t>
      </w:r>
      <w:r>
        <w:rPr>
          <w:rFonts w:eastAsia="Calibri" w:cs="DejaVu Math TeX Gyre" w:ascii="Arimo" w:hAnsi="Arimo"/>
          <w:b w:val="false"/>
          <w:bCs w:val="false"/>
          <w:sz w:val="24"/>
          <w:szCs w:val="24"/>
          <w:lang w:eastAsia="en-US"/>
        </w:rPr>
        <w:t xml:space="preserve">Агрызского муниципального района Республики Татарстан </w:t>
      </w:r>
      <w:r>
        <w:rPr>
          <w:rFonts w:cs="DejaVu Math TeX Gyre" w:ascii="Arimo" w:hAnsi="Arimo"/>
          <w:b w:val="false"/>
          <w:bCs w:val="false"/>
          <w:sz w:val="24"/>
          <w:szCs w:val="24"/>
        </w:rPr>
        <w:t>(далее – муниципальный контроль).</w:t>
      </w:r>
    </w:p>
    <w:p>
      <w:pPr>
        <w:pStyle w:val="ListParagraph"/>
        <w:widowControl/>
        <w:tabs>
          <w:tab w:val="clear" w:pos="708"/>
          <w:tab w:val="left" w:pos="1134" w:leader="none"/>
        </w:tabs>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sz w:val="24"/>
          <w:szCs w:val="24"/>
        </w:rPr>
        <w:t xml:space="preserve">1.2. </w:t>
      </w:r>
      <w:r>
        <w:rPr>
          <w:rFonts w:cs="DejaVu Math TeX Gyre" w:ascii="Arimo" w:hAnsi="Arimo"/>
          <w:b w:val="false"/>
          <w:bCs w:val="false"/>
          <w:color w:val="000000"/>
          <w:sz w:val="24"/>
          <w:szCs w:val="24"/>
          <w:lang w:eastAsia="zh-CN"/>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Pr>
          <w:rFonts w:cs="DejaVu Math TeX Gyre" w:ascii="Arimo" w:hAnsi="Arimo"/>
          <w:b w:val="false"/>
          <w:bCs w:val="false"/>
          <w:color w:val="000000"/>
          <w:sz w:val="24"/>
          <w:szCs w:val="24"/>
          <w:shd w:fill="FFFFFF" w:val="clear"/>
          <w:lang w:eastAsia="zh-CN"/>
        </w:rPr>
        <w:t xml:space="preserve">Правил благоустройства территории </w:t>
      </w:r>
      <w:r>
        <w:rPr>
          <w:rFonts w:cs="DejaVu Math TeX Gyre" w:ascii="Arimo" w:hAnsi="Arimo"/>
          <w:b w:val="false"/>
          <w:bCs w:val="false"/>
          <w:color w:val="000000"/>
          <w:sz w:val="24"/>
          <w:szCs w:val="24"/>
          <w:lang w:eastAsia="zh-CN"/>
        </w:rPr>
        <w:t>муниципального образования «город Агрыз» Агрызского муниципального района Республики Татарстан</w:t>
      </w:r>
      <w:r>
        <w:rPr>
          <w:rFonts w:cs="DejaVu Math TeX Gyre" w:ascii="Arimo" w:hAnsi="Arimo"/>
          <w:b w:val="false"/>
          <w:bCs w:val="false"/>
          <w:i/>
          <w:iCs/>
          <w:color w:val="000000"/>
          <w:sz w:val="24"/>
          <w:szCs w:val="24"/>
          <w:lang w:eastAsia="zh-CN"/>
        </w:rPr>
        <w:t xml:space="preserve"> </w:t>
      </w:r>
      <w:r>
        <w:rPr>
          <w:rFonts w:cs="DejaVu Math TeX Gyre" w:ascii="Arimo" w:hAnsi="Arimo"/>
          <w:b w:val="false"/>
          <w:bCs w:val="false"/>
          <w:color w:val="000000"/>
          <w:sz w:val="24"/>
          <w:szCs w:val="24"/>
          <w:lang w:eastAsia="zh-CN"/>
        </w:rPr>
        <w:t>(далее – Правила благоустройства)</w:t>
      </w:r>
      <w:r>
        <w:rPr>
          <w:rFonts w:cs="DejaVu Math TeX Gyre" w:ascii="Arimo" w:hAnsi="Arimo"/>
          <w:b w:val="false"/>
          <w:bCs w:val="false"/>
          <w:color w:val="000000"/>
          <w:sz w:val="24"/>
          <w:szCs w:val="24"/>
          <w:shd w:fill="FFFFFF" w:val="clear"/>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rPr>
        <w:t xml:space="preserve">1.3. Объектами </w:t>
      </w:r>
      <w:r>
        <w:rPr>
          <w:rStyle w:val="Match"/>
          <w:rFonts w:cs="DejaVu Math TeX Gyre" w:ascii="Arimo" w:hAnsi="Arimo"/>
          <w:b w:val="false"/>
          <w:bCs w:val="false"/>
          <w:color w:val="000000"/>
          <w:sz w:val="24"/>
          <w:szCs w:val="24"/>
        </w:rPr>
        <w:t>муниципального</w:t>
      </w:r>
      <w:r>
        <w:rPr>
          <w:rFonts w:cs="DejaVu Math TeX Gyre" w:ascii="Arimo" w:hAnsi="Arimo"/>
          <w:b w:val="false"/>
          <w:bCs w:val="false"/>
          <w:color w:val="000000"/>
          <w:sz w:val="24"/>
          <w:szCs w:val="24"/>
        </w:rPr>
        <w:t xml:space="preserve"> </w:t>
      </w:r>
      <w:r>
        <w:rPr>
          <w:rStyle w:val="Match"/>
          <w:rFonts w:cs="DejaVu Math TeX Gyre" w:ascii="Arimo" w:hAnsi="Arimo"/>
          <w:b w:val="false"/>
          <w:bCs w:val="false"/>
          <w:color w:val="000000"/>
          <w:sz w:val="24"/>
          <w:szCs w:val="24"/>
        </w:rPr>
        <w:t>контроля</w:t>
      </w:r>
      <w:r>
        <w:rPr>
          <w:rFonts w:cs="DejaVu Math TeX Gyre" w:ascii="Arimo" w:hAnsi="Arimo"/>
          <w:b w:val="false"/>
          <w:bCs w:val="false"/>
          <w:color w:val="000000"/>
          <w:sz w:val="24"/>
          <w:szCs w:val="24"/>
        </w:rPr>
        <w:t xml:space="preserve"> являются: </w:t>
      </w:r>
    </w:p>
    <w:p>
      <w:pPr>
        <w:pStyle w:val="Formattext"/>
        <w:spacing w:before="0" w:after="0"/>
        <w:ind w:left="0" w:right="0" w:firstLine="480"/>
        <w:jc w:val="both"/>
        <w:rPr>
          <w:rFonts w:ascii="DejaVu Math TeX Gyre" w:hAnsi="DejaVu Math TeX Gyre" w:cs="DejaVu Math TeX Gyre"/>
          <w:sz w:val="28"/>
          <w:szCs w:val="28"/>
        </w:rPr>
      </w:pPr>
      <w:r>
        <w:rPr>
          <w:rFonts w:cs="DejaVu Math TeX Gyre" w:ascii="Arimo" w:hAnsi="Arimo"/>
          <w:b w:val="false"/>
          <w:bCs w:val="false"/>
          <w:sz w:val="24"/>
          <w:szCs w:val="24"/>
        </w:rPr>
        <w:t xml:space="preserve">- деятельность, действия (бездействие) контролируемых лиц, в рамках которых должны соблюдаться обязательные требования в </w:t>
      </w:r>
      <w:r>
        <w:rPr>
          <w:rStyle w:val="Match"/>
          <w:rFonts w:cs="DejaVu Math TeX Gyre" w:ascii="Arimo" w:hAnsi="Arimo"/>
          <w:b w:val="false"/>
          <w:bCs w:val="false"/>
          <w:sz w:val="24"/>
          <w:szCs w:val="24"/>
        </w:rPr>
        <w:t>сфере</w:t>
      </w:r>
      <w:r>
        <w:rPr>
          <w:rFonts w:cs="DejaVu Math TeX Gyre" w:ascii="Arimo" w:hAnsi="Arimo"/>
          <w:b w:val="false"/>
          <w:bCs w:val="false"/>
          <w:sz w:val="24"/>
          <w:szCs w:val="24"/>
        </w:rPr>
        <w:t xml:space="preserve"> </w:t>
      </w:r>
      <w:r>
        <w:rPr>
          <w:rStyle w:val="Match"/>
          <w:rFonts w:cs="DejaVu Math TeX Gyre" w:ascii="Arimo" w:hAnsi="Arimo"/>
          <w:b w:val="false"/>
          <w:bCs w:val="false"/>
          <w:sz w:val="24"/>
          <w:szCs w:val="24"/>
        </w:rPr>
        <w:t>благоустройства</w:t>
      </w:r>
      <w:r>
        <w:rPr>
          <w:rFonts w:cs="DejaVu Math TeX Gyre" w:ascii="Arimo" w:hAnsi="Arimo"/>
          <w:b w:val="false"/>
          <w:bCs w:val="false"/>
          <w:sz w:val="24"/>
          <w:szCs w:val="24"/>
        </w:rPr>
        <w:t xml:space="preserve">, в том числе предъявляемые к контролируемым лицам, осуществляющим деятельность, действия (бездействие); </w:t>
      </w:r>
    </w:p>
    <w:p>
      <w:pPr>
        <w:pStyle w:val="Headertext"/>
        <w:spacing w:before="0" w:after="0"/>
        <w:ind w:left="0" w:right="0" w:firstLine="482"/>
        <w:jc w:val="both"/>
        <w:rPr>
          <w:rFonts w:ascii="DejaVu Math TeX Gyre" w:hAnsi="DejaVu Math TeX Gyre" w:cs="DejaVu Math TeX Gyre"/>
          <w:bCs/>
          <w:color w:val="000000"/>
          <w:sz w:val="28"/>
          <w:szCs w:val="28"/>
          <w:lang w:eastAsia="zh-CN"/>
        </w:rPr>
      </w:pPr>
      <w:r>
        <w:rPr>
          <w:rFonts w:cs="DejaVu Math TeX Gyre" w:ascii="Arimo" w:hAnsi="Arimo"/>
          <w:b w:val="false"/>
          <w:bCs w:val="false"/>
          <w:sz w:val="24"/>
          <w:szCs w:val="24"/>
        </w:rPr>
        <w:t>-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lang w:eastAsia="zh-CN"/>
        </w:rPr>
        <w:t xml:space="preserve">-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контролируемые лица владеют и (или) пользуются и к которым предъявляются обязательные требования в </w:t>
      </w:r>
      <w:r>
        <w:rPr>
          <w:rStyle w:val="Match"/>
          <w:rFonts w:cs="DejaVu Math TeX Gyre" w:ascii="Arimo" w:hAnsi="Arimo"/>
          <w:b w:val="false"/>
          <w:bCs w:val="false"/>
          <w:color w:val="000000"/>
          <w:sz w:val="24"/>
          <w:szCs w:val="24"/>
          <w:lang w:eastAsia="zh-CN"/>
        </w:rPr>
        <w:t>сфере</w:t>
      </w:r>
      <w:r>
        <w:rPr>
          <w:rFonts w:cs="DejaVu Math TeX Gyre" w:ascii="Arimo" w:hAnsi="Arimo"/>
          <w:b w:val="false"/>
          <w:bCs w:val="false"/>
          <w:color w:val="000000"/>
          <w:sz w:val="24"/>
          <w:szCs w:val="24"/>
          <w:lang w:eastAsia="zh-CN"/>
        </w:rPr>
        <w:t xml:space="preserve"> </w:t>
      </w:r>
      <w:r>
        <w:rPr>
          <w:rStyle w:val="Match"/>
          <w:rFonts w:cs="DejaVu Math TeX Gyre" w:ascii="Arimo" w:hAnsi="Arimo"/>
          <w:b w:val="false"/>
          <w:bCs w:val="false"/>
          <w:color w:val="000000"/>
          <w:sz w:val="24"/>
          <w:szCs w:val="24"/>
          <w:lang w:eastAsia="zh-CN"/>
        </w:rPr>
        <w:t>благоустройства</w:t>
      </w:r>
      <w:r>
        <w:rPr>
          <w:rFonts w:cs="DejaVu Math TeX Gyre" w:ascii="Arimo" w:hAnsi="Arimo"/>
          <w:b w:val="false"/>
          <w:bCs w:val="false"/>
          <w:color w:val="000000"/>
          <w:sz w:val="24"/>
          <w:szCs w:val="24"/>
          <w:lang w:eastAsia="zh-CN"/>
        </w:rPr>
        <w:t xml:space="preserve"> (далее - производственные объекты)..</w:t>
      </w:r>
    </w:p>
    <w:p>
      <w:pPr>
        <w:pStyle w:val="ListParagraph"/>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1.4. Учет объектов контроля осуществляется посредством создания:</w:t>
      </w:r>
    </w:p>
    <w:p>
      <w:pPr>
        <w:pStyle w:val="Normal"/>
        <w:widowContro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Единого реестра видов контроля;</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 xml:space="preserve">Единого реестра контрольных мероприятий; </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Информационной системы (подсистемы государственной информационной системы) досудебного обжалования;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Иных государственных и муниципальных информационных систем путем межведомственного информационного взаимодействия.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Контрольным органом в соответствии с частью 2 статьи 16 и частью 5 статьи 17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Единый реестр видов контроля (далее - ЕРВК).</w:t>
      </w:r>
    </w:p>
    <w:p>
      <w:pPr>
        <w:pStyle w:val="ListParagraph"/>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1.5. Муниципальный жилищный контроль осуществляется Исполнительным комитетом </w:t>
      </w:r>
      <w:r>
        <w:rPr>
          <w:rFonts w:cs="DejaVu Math TeX Gyre" w:ascii="Arimo" w:hAnsi="Arimo"/>
          <w:b w:val="false"/>
          <w:bCs w:val="false"/>
          <w:iCs/>
          <w:color w:val="000000"/>
          <w:sz w:val="24"/>
          <w:szCs w:val="24"/>
          <w:lang w:eastAsia="zh-CN"/>
        </w:rPr>
        <w:t xml:space="preserve">муниципального образования «город Агрыз» </w:t>
      </w:r>
      <w:r>
        <w:rPr>
          <w:rFonts w:eastAsia="Calibri" w:cs="DejaVu Math TeX Gyre" w:ascii="Arimo" w:hAnsi="Arimo"/>
          <w:b w:val="false"/>
          <w:bCs w:val="false"/>
          <w:sz w:val="24"/>
          <w:szCs w:val="24"/>
          <w:lang w:eastAsia="en-US"/>
        </w:rPr>
        <w:t>Агрызского муниципального района Республики Татарстан</w:t>
      </w:r>
      <w:r>
        <w:rPr>
          <w:rFonts w:cs="DejaVu Math TeX Gyre" w:ascii="Arimo" w:hAnsi="Arimo"/>
          <w:b w:val="false"/>
          <w:bCs w:val="false"/>
          <w:sz w:val="24"/>
          <w:szCs w:val="24"/>
        </w:rPr>
        <w:t xml:space="preserve"> (далее – Контрольный орган).</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1.6. От имени Контрольного органа муниципальный жилищный контроль имеют право осуществлять следующие должностные лица:</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руководитель (заместитель руководителя) Контрольного органа;</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начальник организационного отдела Исполнительного комитета;</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главный специалист организационного отдела Исполнительного комитета.</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pPr>
        <w:pStyle w:val="Normal"/>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sz w:val="24"/>
          <w:szCs w:val="24"/>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w:t>
      </w:r>
      <w:bookmarkStart w:id="1" w:name="_Hlk77673480"/>
      <w:r>
        <w:rPr>
          <w:rFonts w:cs="DejaVu Math TeX Gyre" w:ascii="Arimo" w:hAnsi="Arimo"/>
          <w:b w:val="false"/>
          <w:bCs w:val="false"/>
          <w:sz w:val="24"/>
          <w:szCs w:val="24"/>
        </w:rPr>
        <w:t xml:space="preserve">нтроле в Российской Федерации», </w:t>
      </w:r>
      <w:bookmarkEnd w:id="1"/>
      <w:r>
        <w:rPr>
          <w:rFonts w:cs="DejaVu Math TeX Gyre" w:ascii="Arimo" w:hAnsi="Arimo"/>
          <w:b w:val="false"/>
          <w:bCs w:val="false"/>
          <w:sz w:val="24"/>
          <w:szCs w:val="24"/>
        </w:rPr>
        <w:t>Федерального закона от 6 октября 2003 года № 131-ФЗ «Об общих принципах организации местного самоуправления в Российской Федерации, Правил благоустройства территории муниципального образования «город Агрыз» Агрызского муниципального района Республики Татарстан, утвержденные решением Совета муниципального образования «город Агрыз» Агрызского муниципального района Республики Татарстан от 14.12.2017 № 19-3.</w:t>
      </w:r>
    </w:p>
    <w:p>
      <w:pPr>
        <w:pStyle w:val="ConsPlusNormal"/>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1.7. Контрольный орган осуществляет контроль за соблюдением Правил благоустройства, включающих:</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1) обязательные требования по содержанию прилегающих территорий;</w:t>
      </w:r>
    </w:p>
    <w:p>
      <w:pPr>
        <w:pStyle w:val="BodyText2"/>
        <w:tabs>
          <w:tab w:val="clear" w:pos="708"/>
          <w:tab w:val="left" w:pos="1200" w:leader="none"/>
        </w:tabs>
        <w:spacing w:lineRule="auto" w:line="240" w:before="0" w:after="0"/>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xml:space="preserve">2) обязательные требования по содержанию элементов и объектов благоустройства, в том числе требования: </w:t>
      </w:r>
    </w:p>
    <w:p>
      <w:pPr>
        <w:pStyle w:val="BodyText2"/>
        <w:tabs>
          <w:tab w:val="clear" w:pos="708"/>
          <w:tab w:val="left" w:pos="1200" w:leader="none"/>
        </w:tabs>
        <w:spacing w:lineRule="auto" w:line="240" w:before="0" w:after="0"/>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pPr>
        <w:pStyle w:val="Normal"/>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xml:space="preserve">- по </w:t>
      </w:r>
      <w:r>
        <w:rPr>
          <w:rFonts w:cs="DejaVu Math TeX Gyre" w:ascii="Arimo" w:hAnsi="Arimo"/>
          <w:b w:val="false"/>
          <w:bCs w:val="false"/>
          <w:color w:val="000000"/>
          <w:sz w:val="24"/>
          <w:szCs w:val="24"/>
          <w:shd w:fill="FFFFFF" w:val="clear"/>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pPr>
        <w:pStyle w:val="Normal"/>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xml:space="preserve">- по </w:t>
      </w:r>
      <w:r>
        <w:rPr>
          <w:rFonts w:cs="DejaVu Math TeX Gyre" w:ascii="Arimo" w:hAnsi="Arimo"/>
          <w:b w:val="false"/>
          <w:bCs w:val="false"/>
          <w:color w:val="000000"/>
          <w:sz w:val="24"/>
          <w:szCs w:val="24"/>
          <w:shd w:fill="FFFFFF" w:val="clear"/>
        </w:rPr>
        <w:t>содержанию специальных знаков, надписей, содержащих информацию, необходимую для эксплуатации инженерных сооружений;</w:t>
      </w:r>
    </w:p>
    <w:p>
      <w:pPr>
        <w:pStyle w:val="Normal"/>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rFonts w:cs="DejaVu Math TeX Gyre" w:ascii="Arimo" w:hAnsi="Arimo"/>
          <w:b w:val="false"/>
          <w:bCs w:val="false"/>
          <w:sz w:val="24"/>
          <w:szCs w:val="24"/>
        </w:rPr>
        <w:t>Республики Татарстан</w:t>
      </w:r>
      <w:r>
        <w:rPr>
          <w:rFonts w:cs="DejaVu Math TeX Gyre" w:ascii="Arimo" w:hAnsi="Arimo"/>
          <w:b w:val="false"/>
          <w:bCs w:val="false"/>
          <w:i/>
          <w:iCs/>
          <w:sz w:val="24"/>
          <w:szCs w:val="24"/>
        </w:rPr>
        <w:t xml:space="preserve"> </w:t>
      </w:r>
      <w:r>
        <w:rPr>
          <w:rFonts w:cs="DejaVu Math TeX Gyre" w:ascii="Arimo" w:hAnsi="Arimo"/>
          <w:b w:val="false"/>
          <w:bCs w:val="false"/>
          <w:color w:val="000000"/>
          <w:sz w:val="24"/>
          <w:szCs w:val="24"/>
        </w:rPr>
        <w:t>и Правилами благоустройства;</w:t>
      </w:r>
    </w:p>
    <w:p>
      <w:pPr>
        <w:pStyle w:val="Normal"/>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pPr>
        <w:pStyle w:val="Normal"/>
        <w:ind w:left="0" w:right="0" w:firstLine="709"/>
        <w:jc w:val="both"/>
        <w:rPr>
          <w:rFonts w:ascii="DejaVu Math TeX Gyre" w:hAnsi="DejaVu Math TeX Gyre" w:cs="DejaVu Math TeX Gyre"/>
          <w:color w:val="000000"/>
          <w:sz w:val="28"/>
          <w:szCs w:val="28"/>
          <w:shd w:fill="FFFFFF" w:val="clear"/>
        </w:rPr>
      </w:pPr>
      <w:r>
        <w:rPr>
          <w:rFonts w:cs="DejaVu Math TeX Gyre" w:ascii="Arimo" w:hAnsi="Arimo"/>
          <w:b w:val="false"/>
          <w:bCs w:val="false"/>
          <w:color w:val="000000"/>
          <w:sz w:val="24"/>
          <w:szCs w:val="24"/>
        </w:rPr>
        <w:t xml:space="preserve">- по направлению в исполком уведомления о проведении работ в результате аварий в срок, установленный нормативными правовыми актами </w:t>
      </w:r>
      <w:r>
        <w:rPr>
          <w:rFonts w:cs="DejaVu Math TeX Gyre" w:ascii="Arimo" w:hAnsi="Arimo"/>
          <w:b w:val="false"/>
          <w:bCs w:val="false"/>
          <w:sz w:val="24"/>
          <w:szCs w:val="24"/>
        </w:rPr>
        <w:t>Республики Татарстан</w:t>
      </w:r>
      <w:r>
        <w:rPr>
          <w:rFonts w:cs="DejaVu Math TeX Gyre" w:ascii="Arimo" w:hAnsi="Arimo"/>
          <w:b w:val="false"/>
          <w:bCs w:val="false"/>
          <w:color w:val="000000"/>
          <w:sz w:val="24"/>
          <w:szCs w:val="24"/>
        </w:rPr>
        <w:t>;</w:t>
      </w:r>
    </w:p>
    <w:p>
      <w:pPr>
        <w:pStyle w:val="Normal"/>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shd w:fill="FFFFFF" w:val="clear"/>
        </w:rPr>
        <w:t xml:space="preserve">- о недопустимости </w:t>
      </w:r>
      <w:r>
        <w:rPr>
          <w:rFonts w:cs="DejaVu Math TeX Gyre" w:ascii="Arimo" w:hAnsi="Arimo"/>
          <w:b w:val="false"/>
          <w:bCs w:val="false"/>
          <w:color w:val="000000"/>
          <w:sz w:val="24"/>
          <w:szCs w:val="24"/>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pPr>
        <w:pStyle w:val="BodyText2"/>
        <w:tabs>
          <w:tab w:val="clear" w:pos="708"/>
          <w:tab w:val="left" w:pos="1200" w:leader="none"/>
        </w:tabs>
        <w:spacing w:lineRule="auto" w:line="240" w:before="0" w:after="0"/>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xml:space="preserve">3) обязательные требования по уборке территории города Агрыз в зимний период, включая контроль проведения мероприятий по очистке от снега, наледи и сосулек кровель зданий, сооружений; </w:t>
      </w:r>
    </w:p>
    <w:p>
      <w:pPr>
        <w:pStyle w:val="BodyText2"/>
        <w:tabs>
          <w:tab w:val="clear" w:pos="708"/>
          <w:tab w:val="left" w:pos="1200" w:leader="none"/>
        </w:tabs>
        <w:spacing w:lineRule="auto" w:line="240" w:before="0" w:after="0"/>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 xml:space="preserve">4) обязательные требования по уборке территории города Агрыз в летний период, включая обязательные требования по </w:t>
      </w:r>
      <w:r>
        <w:rPr>
          <w:rFonts w:eastAsia="Calibri" w:cs="DejaVu Math TeX Gyre" w:ascii="Arimo" w:hAnsi="Arimo"/>
          <w:b w:val="false"/>
          <w:bCs w:val="false"/>
          <w:color w:val="000000"/>
          <w:sz w:val="24"/>
          <w:szCs w:val="24"/>
          <w:lang w:eastAsia="en-US"/>
        </w:rPr>
        <w:t>выявлению карантинных, ядовитых и сорных растений, борьбе с ними, локализации, ликвидации их очагов</w:t>
      </w:r>
      <w:r>
        <w:rPr>
          <w:rFonts w:cs="DejaVu Math TeX Gyre" w:ascii="Arimo" w:hAnsi="Arimo"/>
          <w:b w:val="false"/>
          <w:bCs w:val="false"/>
          <w:color w:val="000000"/>
          <w:sz w:val="24"/>
          <w:szCs w:val="24"/>
        </w:rPr>
        <w:t>;</w:t>
      </w:r>
    </w:p>
    <w:p>
      <w:pPr>
        <w:pStyle w:val="BodyText2"/>
        <w:tabs>
          <w:tab w:val="clear" w:pos="708"/>
          <w:tab w:val="left" w:pos="1200" w:leader="none"/>
        </w:tabs>
        <w:spacing w:lineRule="auto" w:line="240" w:before="0" w:after="0"/>
        <w:ind w:left="0" w:right="0" w:firstLine="709"/>
        <w:jc w:val="both"/>
        <w:rPr>
          <w:rFonts w:ascii="DejaVu Math TeX Gyre" w:hAnsi="DejaVu Math TeX Gyre" w:cs="DejaVu Math TeX Gyre"/>
          <w:bCs/>
          <w:color w:val="000000"/>
          <w:sz w:val="28"/>
          <w:szCs w:val="28"/>
        </w:rPr>
      </w:pPr>
      <w:r>
        <w:rPr>
          <w:rFonts w:cs="DejaVu Math TeX Gyre" w:ascii="Arimo" w:hAnsi="Arimo"/>
          <w:b w:val="false"/>
          <w:bCs w:val="false"/>
          <w:color w:val="000000"/>
          <w:sz w:val="24"/>
          <w:szCs w:val="24"/>
        </w:rPr>
        <w:t xml:space="preserve">5) дополнительные обязательные требования </w:t>
      </w:r>
      <w:r>
        <w:rPr>
          <w:rFonts w:cs="DejaVu Math TeX Gyre" w:ascii="Arimo" w:hAnsi="Arimo"/>
          <w:b w:val="false"/>
          <w:bCs w:val="false"/>
          <w:color w:val="000000"/>
          <w:sz w:val="24"/>
          <w:szCs w:val="24"/>
          <w:shd w:fill="FFFFFF" w:val="clear"/>
        </w:rPr>
        <w:t>пожарной безопасности</w:t>
      </w:r>
      <w:r>
        <w:rPr>
          <w:rFonts w:cs="DejaVu Math TeX Gyre" w:ascii="Arimo" w:hAnsi="Arimo"/>
          <w:b w:val="false"/>
          <w:bCs w:val="false"/>
          <w:color w:val="000000"/>
          <w:sz w:val="24"/>
          <w:szCs w:val="24"/>
        </w:rPr>
        <w:t xml:space="preserve"> в </w:t>
      </w:r>
      <w:r>
        <w:rPr>
          <w:rFonts w:cs="DejaVu Math TeX Gyre" w:ascii="Arimo" w:hAnsi="Arimo"/>
          <w:b w:val="false"/>
          <w:bCs w:val="false"/>
          <w:color w:val="000000"/>
          <w:sz w:val="24"/>
          <w:szCs w:val="24"/>
          <w:shd w:fill="FFFFFF" w:val="clear"/>
        </w:rPr>
        <w:t xml:space="preserve">период действия особого противопожарного режима; </w:t>
      </w:r>
    </w:p>
    <w:p>
      <w:pPr>
        <w:pStyle w:val="BodyText2"/>
        <w:tabs>
          <w:tab w:val="clear" w:pos="708"/>
          <w:tab w:val="left" w:pos="1200" w:leader="none"/>
        </w:tabs>
        <w:spacing w:lineRule="auto" w:line="240" w:before="0" w:after="0"/>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pPr>
        <w:pStyle w:val="BodyText2"/>
        <w:tabs>
          <w:tab w:val="clear" w:pos="708"/>
          <w:tab w:val="left" w:pos="1200" w:leader="none"/>
        </w:tabs>
        <w:spacing w:lineRule="auto" w:line="240" w:before="0" w:after="0"/>
        <w:ind w:left="0" w:right="0" w:firstLine="709"/>
        <w:jc w:val="both"/>
        <w:rPr>
          <w:rFonts w:ascii="DejaVu Math TeX Gyre" w:hAnsi="DejaVu Math TeX Gyre" w:eastAsia="Calibri" w:cs="DejaVu Math TeX Gyre"/>
          <w:bCs/>
          <w:color w:val="000000"/>
          <w:sz w:val="28"/>
          <w:szCs w:val="28"/>
          <w:lang w:eastAsia="en-US"/>
        </w:rPr>
      </w:pPr>
      <w:r>
        <w:rPr>
          <w:rFonts w:cs="DejaVu Math TeX Gyre" w:ascii="Arimo" w:hAnsi="Arimo"/>
          <w:b w:val="false"/>
          <w:bCs w:val="false"/>
          <w:color w:val="000000"/>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pPr>
        <w:pStyle w:val="BodyText2"/>
        <w:tabs>
          <w:tab w:val="clear" w:pos="708"/>
          <w:tab w:val="left" w:pos="1200" w:leader="none"/>
        </w:tabs>
        <w:spacing w:lineRule="auto" w:line="240" w:before="0" w:after="0"/>
        <w:ind w:left="0" w:right="0" w:firstLine="709"/>
        <w:jc w:val="both"/>
        <w:rPr>
          <w:rFonts w:ascii="DejaVu Math TeX Gyre" w:hAnsi="DejaVu Math TeX Gyre" w:cs="DejaVu Math TeX Gyre"/>
          <w:color w:val="000000"/>
          <w:sz w:val="28"/>
          <w:szCs w:val="28"/>
        </w:rPr>
      </w:pPr>
      <w:r>
        <w:rPr>
          <w:rFonts w:eastAsia="Calibri" w:cs="DejaVu Math TeX Gyre" w:ascii="Arimo" w:hAnsi="Arimo"/>
          <w:b w:val="false"/>
          <w:bCs w:val="false"/>
          <w:color w:val="000000"/>
          <w:sz w:val="24"/>
          <w:szCs w:val="24"/>
          <w:lang w:eastAsia="en-US"/>
        </w:rPr>
        <w:t xml:space="preserve">8) </w:t>
      </w:r>
      <w:r>
        <w:rPr>
          <w:rFonts w:cs="DejaVu Math TeX Gyre" w:ascii="Arimo" w:hAnsi="Arimo"/>
          <w:b w:val="false"/>
          <w:bCs w:val="false"/>
          <w:color w:val="000000"/>
          <w:sz w:val="24"/>
          <w:szCs w:val="24"/>
        </w:rPr>
        <w:t>обязательные требования по</w:t>
      </w:r>
      <w:r>
        <w:rPr>
          <w:rFonts w:eastAsia="Calibri" w:cs="DejaVu Math TeX Gyre" w:ascii="Arimo" w:hAnsi="Arimo"/>
          <w:b w:val="false"/>
          <w:bCs w:val="false"/>
          <w:color w:val="000000"/>
          <w:sz w:val="24"/>
          <w:szCs w:val="24"/>
          <w:lang w:eastAsia="en-US"/>
        </w:rPr>
        <w:t xml:space="preserve"> </w:t>
      </w:r>
      <w:r>
        <w:rPr>
          <w:rFonts w:cs="DejaVu Math TeX Gyre" w:ascii="Arimo" w:hAnsi="Arimo"/>
          <w:b w:val="false"/>
          <w:bCs w:val="false"/>
          <w:color w:val="000000"/>
          <w:sz w:val="24"/>
          <w:szCs w:val="24"/>
        </w:rPr>
        <w:t>складированию твердых коммунальных отходов;</w:t>
      </w:r>
    </w:p>
    <w:p>
      <w:pPr>
        <w:pStyle w:val="BodyText2"/>
        <w:tabs>
          <w:tab w:val="clear" w:pos="708"/>
          <w:tab w:val="left" w:pos="1200" w:leader="none"/>
        </w:tabs>
        <w:spacing w:lineRule="auto" w:line="240" w:before="0" w:after="0"/>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9) обязательные требования по</w:t>
      </w:r>
      <w:r>
        <w:rPr>
          <w:rFonts w:eastAsia="Calibri" w:cs="DejaVu Math TeX Gyre" w:ascii="Arimo" w:hAnsi="Arimo"/>
          <w:b w:val="false"/>
          <w:bCs w:val="false"/>
          <w:color w:val="000000"/>
          <w:sz w:val="24"/>
          <w:szCs w:val="24"/>
          <w:lang w:eastAsia="en-US"/>
        </w:rPr>
        <w:t xml:space="preserve"> </w:t>
      </w:r>
      <w:r>
        <w:rPr>
          <w:rFonts w:cs="DejaVu Math TeX Gyre" w:ascii="Arimo" w:hAnsi="Arimo"/>
          <w:b w:val="false"/>
          <w:bCs w:val="false"/>
          <w:color w:val="000000"/>
          <w:sz w:val="24"/>
          <w:szCs w:val="24"/>
        </w:rPr>
        <w:t xml:space="preserve">выгулу животных и требования о недопустимости </w:t>
      </w:r>
      <w:r>
        <w:rPr>
          <w:rFonts w:cs="DejaVu Math TeX Gyre" w:ascii="Arimo" w:hAnsi="Arimo"/>
          <w:b w:val="false"/>
          <w:bCs w:val="false"/>
          <w:sz w:val="24"/>
          <w:szCs w:val="24"/>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pPr>
        <w:pStyle w:val="ConsPlusNormal"/>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Контрольный орган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1.8.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3) дворовые территории;</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4) детские и спортивные площадки;</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5) площадки для выгула животных;</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6) парковки (парковочные места);</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7) парки, скверы, иные зеленые зоны;</w:t>
      </w:r>
    </w:p>
    <w:p>
      <w:pPr>
        <w:pStyle w:val="Normal"/>
        <w:widowControl w:val="false"/>
        <w:suppressAutoHyphens w:val="true"/>
        <w:ind w:left="0" w:right="0" w:firstLine="709"/>
        <w:jc w:val="both"/>
        <w:rPr>
          <w:rFonts w:ascii="DejaVu Math TeX Gyre" w:hAnsi="DejaVu Math TeX Gyre" w:cs="DejaVu Math TeX Gyre"/>
          <w:color w:val="000000"/>
          <w:sz w:val="28"/>
          <w:szCs w:val="28"/>
        </w:rPr>
      </w:pPr>
      <w:r>
        <w:rPr>
          <w:rFonts w:cs="DejaVu Math TeX Gyre" w:ascii="Arimo" w:hAnsi="Arimo"/>
          <w:b w:val="false"/>
          <w:bCs w:val="false"/>
          <w:color w:val="000000"/>
          <w:sz w:val="24"/>
          <w:szCs w:val="24"/>
        </w:rPr>
        <w:t>8) технические и санитарно-защитные зоны;</w:t>
      </w:r>
    </w:p>
    <w:p>
      <w:pPr>
        <w:pStyle w:val="Normal"/>
        <w:widowControl w:val="false"/>
        <w:suppressAutoHyphens w:val="true"/>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pPr>
        <w:pStyle w:val="Normal"/>
        <w:widowControl w:val="false"/>
        <w:suppressAutoHyphens w:val="true"/>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Title"/>
        <w:numPr>
          <w:ilvl w:val="0"/>
          <w:numId w:val="0"/>
        </w:numPr>
        <w:ind w:left="1543" w:right="0" w:hanging="0"/>
        <w:jc w:val="center"/>
        <w:outlineLvl w:val="1"/>
        <w:rPr>
          <w:rFonts w:ascii="DejaVu Math TeX Gyre" w:hAnsi="DejaVu Math TeX Gyre" w:cs="DejaVu Math TeX Gyre"/>
          <w:sz w:val="28"/>
          <w:szCs w:val="28"/>
        </w:rPr>
      </w:pPr>
      <w:r>
        <w:rPr>
          <w:rFonts w:cs="DejaVu Math TeX Gyre" w:ascii="Arimo" w:hAnsi="Arimo"/>
          <w:b w:val="false"/>
          <w:bCs w:val="false"/>
          <w:sz w:val="24"/>
          <w:szCs w:val="24"/>
        </w:rPr>
        <w:t>2. Категории риска причинения вреда (ущерба)</w:t>
      </w:r>
    </w:p>
    <w:p>
      <w:pPr>
        <w:pStyle w:val="ConsPlusTitle"/>
        <w:numPr>
          <w:ilvl w:val="0"/>
          <w:numId w:val="0"/>
        </w:numPr>
        <w:ind w:left="1543" w:right="0" w:hanging="0"/>
        <w:jc w:val="center"/>
        <w:outlineLvl w:val="1"/>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умеренный риск;</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низкий риск.</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pPr>
        <w:pStyle w:val="ListParagraph"/>
        <w:widowControl/>
        <w:tabs>
          <w:tab w:val="clear" w:pos="708"/>
          <w:tab w:val="left" w:pos="1134" w:leader="none"/>
        </w:tabs>
        <w:ind w:left="0" w:right="0" w:firstLine="709"/>
        <w:jc w:val="both"/>
        <w:rPr>
          <w:rFonts w:ascii="DejaVu Math TeX Gyre" w:hAnsi="DejaVu Math TeX Gyre" w:cs="DejaVu Math TeX Gyre"/>
          <w:strike w:val="false"/>
          <w:dstrike w:val="false"/>
          <w:color w:val="000000"/>
          <w:sz w:val="28"/>
          <w:szCs w:val="28"/>
          <w:shd w:fill="auto" w:val="clear"/>
        </w:rPr>
      </w:pPr>
      <w:r>
        <w:rPr>
          <w:rFonts w:cs="DejaVu Math TeX Gyre" w:ascii="Arimo" w:hAnsi="Arimo"/>
          <w:b w:val="false"/>
          <w:bCs w:val="false"/>
          <w:sz w:val="24"/>
          <w:szCs w:val="24"/>
        </w:rPr>
        <w:t xml:space="preserve">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trike w:val="false"/>
          <w:dstrike w:val="false"/>
          <w:color w:val="000000"/>
          <w:sz w:val="24"/>
          <w:szCs w:val="24"/>
          <w:shd w:fill="auto" w:val="clear"/>
        </w:rPr>
        <w:t xml:space="preserve">2.5. Перечень индикаторов риска нарушения обязательных требований, проверяемых в рамках осуществления муниципального контроля утверждается решением Совета.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2.6. 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ListParagraph"/>
        <w:widowControl/>
        <w:tabs>
          <w:tab w:val="clear" w:pos="708"/>
          <w:tab w:val="left" w:pos="1134" w:leader="none"/>
        </w:tabs>
        <w:ind w:left="0" w:right="0" w:firstLine="709"/>
        <w:jc w:val="both"/>
        <w:rPr>
          <w:rFonts w:ascii="DejaVu Math TeX Gyre" w:hAnsi="DejaVu Math TeX Gyre" w:cs="DejaVu Math TeX Gyre"/>
          <w:bCs/>
          <w:color w:val="auto"/>
          <w:sz w:val="28"/>
          <w:szCs w:val="28"/>
        </w:rPr>
      </w:pPr>
      <w:r>
        <w:rPr>
          <w:rFonts w:cs="DejaVu Math TeX Gyre" w:ascii="Arimo" w:hAnsi="Arimo"/>
          <w:b w:val="false"/>
          <w:bCs w:val="false"/>
          <w:sz w:val="24"/>
          <w:szCs w:val="24"/>
        </w:rPr>
        <w:t>2.8</w:t>
      </w:r>
      <w:r>
        <w:rPr>
          <w:rFonts w:cs="DejaVu Math TeX Gyre" w:ascii="Arimo" w:hAnsi="Arimo"/>
          <w:b w:val="false"/>
          <w:bCs w:val="false"/>
          <w:sz w:val="24"/>
          <w:szCs w:val="24"/>
          <w:shd w:fill="auto" w:val="clear"/>
        </w:rPr>
        <w:t xml:space="preserve">. </w:t>
      </w:r>
      <w:r>
        <w:rPr>
          <w:rFonts w:cs="DejaVu Math TeX Gyre" w:ascii="Arimo" w:hAnsi="Arimo"/>
          <w:b w:val="false"/>
          <w:bCs w:val="false"/>
          <w:color w:val="000000"/>
          <w:sz w:val="24"/>
          <w:szCs w:val="24"/>
          <w:shd w:fill="auto" w:val="clear"/>
        </w:rPr>
        <w:t>Контролируемое лицо, в том числе с использованием единого портала государственных и муниципальных услуг (функций), имеет право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Normal"/>
        <w:widowControl/>
        <w:tabs>
          <w:tab w:val="clear" w:pos="708"/>
          <w:tab w:val="left" w:pos="1134" w:leader="none"/>
        </w:tabs>
        <w:jc w:val="center"/>
        <w:rPr>
          <w:rFonts w:ascii="Arimo" w:hAnsi="Arimo" w:cs="DejaVu Math TeX Gyre"/>
          <w:b w:val="false"/>
          <w:bCs w:val="false"/>
          <w:color w:val="auto"/>
          <w:sz w:val="24"/>
          <w:szCs w:val="24"/>
        </w:rPr>
      </w:pPr>
      <w:r>
        <w:rPr>
          <w:rFonts w:cs="DejaVu Math TeX Gyre" w:ascii="Arimo" w:hAnsi="Arimo"/>
          <w:b w:val="false"/>
          <w:bCs w:val="false"/>
          <w:color w:val="auto"/>
          <w:sz w:val="24"/>
          <w:szCs w:val="24"/>
        </w:rPr>
      </w:r>
    </w:p>
    <w:p>
      <w:pPr>
        <w:pStyle w:val="Normal"/>
        <w:widowControl/>
        <w:tabs>
          <w:tab w:val="clear" w:pos="708"/>
          <w:tab w:val="left" w:pos="1134" w:leader="none"/>
        </w:tabs>
        <w:jc w:val="center"/>
        <w:rPr>
          <w:rFonts w:ascii="DejaVu Math TeX Gyre" w:hAnsi="DejaVu Math TeX Gyre" w:cs="DejaVu Math TeX Gyre"/>
          <w:sz w:val="28"/>
          <w:szCs w:val="28"/>
        </w:rPr>
      </w:pPr>
      <w:r>
        <w:rPr>
          <w:rFonts w:cs="DejaVu Math TeX Gyre" w:ascii="Arimo" w:hAnsi="Arimo"/>
          <w:b w:val="false"/>
          <w:bCs w:val="false"/>
          <w:color w:val="auto"/>
          <w:sz w:val="24"/>
          <w:szCs w:val="24"/>
        </w:rPr>
        <w:t>3. Виды профилактических мероприятий, которые проводятся при осуществлении муниципального контроля</w:t>
      </w:r>
    </w:p>
    <w:p>
      <w:pPr>
        <w:pStyle w:val="Normal"/>
        <w:widowControl/>
        <w:tabs>
          <w:tab w:val="clear" w:pos="708"/>
          <w:tab w:val="left" w:pos="1134" w:leader="none"/>
        </w:tabs>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При осуществлении муниципального контроля Контрольный орган проводит следующие виды профилактических мероприятий: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информирование;</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обобщение правоприменительной практики;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объявление предостережения;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консультирование;</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 профилактический визит.</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Контрольным органом. Также проводятся профилактические мероприятия, не предусмотренные указанной Программой.</w:t>
      </w:r>
    </w:p>
    <w:p>
      <w:pPr>
        <w:pStyle w:val="ConsPlusNormal"/>
        <w:ind w:left="0"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pPr>
        <w:pStyle w:val="ConsPlusNormal"/>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color w:val="auto"/>
          <w:sz w:val="28"/>
          <w:szCs w:val="28"/>
          <w:lang w:val="x-none" w:eastAsia="x-none"/>
        </w:rPr>
      </w:pPr>
      <w:r>
        <w:rPr>
          <w:rFonts w:cs="DejaVu Math TeX Gyre" w:ascii="Arimo" w:hAnsi="Arimo"/>
          <w:b w:val="false"/>
          <w:bCs w:val="false"/>
          <w:sz w:val="24"/>
          <w:szCs w:val="24"/>
        </w:rPr>
        <w:t xml:space="preserve">3.1.1. </w:t>
      </w:r>
      <w:r>
        <w:rPr>
          <w:rFonts w:cs="DejaVu Math TeX Gyre" w:ascii="Arimo" w:hAnsi="Arimo"/>
          <w:b w:val="false"/>
          <w:bCs w:val="false"/>
          <w:sz w:val="24"/>
          <w:szCs w:val="24"/>
          <w:lang w:val="x-none" w:eastAsia="x-none"/>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на официальном сайте </w:t>
      </w:r>
      <w:r>
        <w:rPr>
          <w:rFonts w:cs="DejaVu Math TeX Gyre" w:ascii="Arimo" w:hAnsi="Arimo"/>
          <w:b w:val="false"/>
          <w:bCs w:val="false"/>
          <w:sz w:val="24"/>
          <w:szCs w:val="24"/>
        </w:rPr>
        <w:t>Агрызского муниципального района в составе портала муниципальных образований Республики Татарстан</w:t>
      </w:r>
      <w:r>
        <w:rPr>
          <w:rFonts w:cs="DejaVu Math TeX Gyre" w:ascii="Arimo" w:hAnsi="Arimo"/>
          <w:b w:val="false"/>
          <w:bCs w:val="false"/>
          <w:i/>
          <w:sz w:val="24"/>
          <w:szCs w:val="24"/>
          <w:lang w:eastAsia="x-none"/>
        </w:rPr>
        <w:t xml:space="preserve"> </w:t>
      </w:r>
      <w:r>
        <w:rPr>
          <w:rFonts w:cs="DejaVu Math TeX Gyre" w:ascii="Arimo" w:hAnsi="Arimo"/>
          <w:b w:val="false"/>
          <w:bCs w:val="false"/>
          <w:sz w:val="24"/>
          <w:szCs w:val="24"/>
          <w:lang w:val="x-none" w:eastAsia="x-none"/>
        </w:rPr>
        <w:t>в информационно-телекоммуникационной сети</w:t>
      </w:r>
      <w:r>
        <w:rPr>
          <w:rFonts w:cs="DejaVu Math TeX Gyre" w:ascii="Arimo" w:hAnsi="Arimo"/>
          <w:b w:val="false"/>
          <w:bCs w:val="false"/>
          <w:sz w:val="24"/>
          <w:szCs w:val="24"/>
          <w:lang w:eastAsia="x-none"/>
        </w:rPr>
        <w:t xml:space="preserve"> </w:t>
      </w:r>
      <w:r>
        <w:rPr>
          <w:rFonts w:cs="DejaVu Math TeX Gyre" w:ascii="Arimo" w:hAnsi="Arimo"/>
          <w:b w:val="false"/>
          <w:bCs w:val="false"/>
          <w:sz w:val="24"/>
          <w:szCs w:val="24"/>
          <w:lang w:val="x-none" w:eastAsia="x-none"/>
        </w:rPr>
        <w:t>«Интернет»</w:t>
      </w:r>
      <w:r>
        <w:rPr>
          <w:rFonts w:cs="DejaVu Math TeX Gyre" w:ascii="Arimo" w:hAnsi="Arimo"/>
          <w:b w:val="false"/>
          <w:bCs w:val="false"/>
          <w:sz w:val="24"/>
          <w:szCs w:val="24"/>
          <w:lang w:eastAsia="x-none"/>
        </w:rPr>
        <w:t xml:space="preserve"> </w:t>
      </w:r>
      <w:r>
        <w:rPr>
          <w:rFonts w:cs="DejaVu Math TeX Gyre" w:ascii="Arimo" w:hAnsi="Arimo"/>
          <w:b w:val="false"/>
          <w:bCs w:val="false"/>
          <w:sz w:val="24"/>
          <w:szCs w:val="24"/>
        </w:rPr>
        <w:t>(https://agryz.tatarstan.ru)</w:t>
      </w:r>
      <w:r>
        <w:rPr>
          <w:rFonts w:cs="DejaVu Math TeX Gyre" w:ascii="Arimo" w:hAnsi="Arimo"/>
          <w:b w:val="false"/>
          <w:bCs w:val="false"/>
          <w:sz w:val="24"/>
          <w:szCs w:val="24"/>
          <w:lang w:val="x-none" w:eastAsia="x-none"/>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cs="DejaVu Math TeX Gyre" w:ascii="Arimo" w:hAnsi="Arimo"/>
          <w:b w:val="false"/>
          <w:bCs w:val="false"/>
          <w:sz w:val="24"/>
          <w:szCs w:val="24"/>
          <w:lang w:eastAsia="x-none"/>
        </w:rPr>
        <w:t xml:space="preserve"> следующих сведений:</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 тексты нормативных правовых актов, регулирующих осуществление муниципального контроля;</w:t>
      </w:r>
    </w:p>
    <w:p>
      <w:pPr>
        <w:pStyle w:val="Normal"/>
        <w:widowControl/>
        <w:tabs>
          <w:tab w:val="clear" w:pos="708"/>
          <w:tab w:val="left" w:pos="1134" w:leader="none"/>
        </w:tabs>
        <w:spacing w:before="0" w:after="0"/>
        <w:ind w:left="0" w:right="0" w:firstLine="567"/>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pPr>
        <w:pStyle w:val="Normal"/>
        <w:widowControl/>
        <w:tabs>
          <w:tab w:val="clear" w:pos="708"/>
          <w:tab w:val="left" w:pos="1134" w:leader="none"/>
        </w:tabs>
        <w:spacing w:before="0" w:after="0"/>
        <w:ind w:left="0" w:right="0" w:firstLine="567"/>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4) утвержденные проверочные листы в формате, допускающем их использование для самообследования;</w:t>
      </w:r>
    </w:p>
    <w:p>
      <w:pPr>
        <w:pStyle w:val="Normal"/>
        <w:widowControl/>
        <w:tabs>
          <w:tab w:val="clear" w:pos="708"/>
          <w:tab w:val="left" w:pos="1134" w:leader="none"/>
        </w:tabs>
        <w:spacing w:before="0" w:after="0"/>
        <w:ind w:left="709" w:right="0" w:hanging="11"/>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5) руководства по соблюдению обязательных требований</w:t>
      </w:r>
      <w:r>
        <w:rPr>
          <w:rFonts w:cs="DejaVu Math TeX Gyre" w:ascii="Arimo" w:hAnsi="Arimo"/>
          <w:b w:val="false"/>
          <w:bCs w:val="false"/>
          <w:color w:val="auto"/>
          <w:sz w:val="24"/>
          <w:szCs w:val="24"/>
          <w:lang w:eastAsia="x-none"/>
        </w:rPr>
        <w:t>;</w:t>
      </w:r>
    </w:p>
    <w:p>
      <w:pPr>
        <w:pStyle w:val="Normal"/>
        <w:widowControl/>
        <w:tabs>
          <w:tab w:val="clear" w:pos="708"/>
          <w:tab w:val="left" w:pos="1134" w:leader="none"/>
        </w:tabs>
        <w:spacing w:before="0" w:after="0"/>
        <w:ind w:left="0" w:right="0" w:firstLine="698"/>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6) перечень индикаторов риска нарушения обязательных требований, порядок отнесения объектов контроля к категориям риска;</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7) перечень объектов контроля, учитываемых в рамках формирования ежегодного плана контрольных мероприятий, с указанием категории риска;</w:t>
      </w:r>
    </w:p>
    <w:p>
      <w:pPr>
        <w:pStyle w:val="Normal"/>
        <w:widowControl/>
        <w:tabs>
          <w:tab w:val="clear" w:pos="708"/>
          <w:tab w:val="left" w:pos="1134" w:leader="none"/>
        </w:tabs>
        <w:spacing w:before="0" w:after="0"/>
        <w:ind w:left="0" w:right="0" w:firstLine="698"/>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9) исчерпывающий перечень сведений, которые запрашива</w:t>
      </w:r>
      <w:r>
        <w:rPr>
          <w:rFonts w:cs="DejaVu Math TeX Gyre" w:ascii="Arimo" w:hAnsi="Arimo"/>
          <w:b w:val="false"/>
          <w:bCs w:val="false"/>
          <w:color w:val="auto"/>
          <w:sz w:val="24"/>
          <w:szCs w:val="24"/>
          <w:lang w:eastAsia="x-none"/>
        </w:rPr>
        <w:t>ются</w:t>
      </w:r>
      <w:r>
        <w:rPr>
          <w:rFonts w:cs="DejaVu Math TeX Gyre" w:ascii="Arimo" w:hAnsi="Arimo"/>
          <w:b w:val="false"/>
          <w:bCs w:val="false"/>
          <w:color w:val="auto"/>
          <w:sz w:val="24"/>
          <w:szCs w:val="24"/>
          <w:lang w:val="x-none" w:eastAsia="x-none"/>
        </w:rPr>
        <w:t xml:space="preserve"> контрольным органом у контролируемого лица;</w:t>
      </w:r>
    </w:p>
    <w:p>
      <w:pPr>
        <w:pStyle w:val="Normal"/>
        <w:widowControl/>
        <w:tabs>
          <w:tab w:val="clear" w:pos="708"/>
          <w:tab w:val="left" w:pos="1134" w:leader="none"/>
        </w:tabs>
        <w:spacing w:before="0" w:after="0"/>
        <w:ind w:left="0" w:right="0" w:firstLine="698"/>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10) сведения о способах получения консультаций по вопросам соблюдения обязательных требований;</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11) сведения о применении контрольным органом мер стимулирования добросовестности контролируемых лиц;</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12) сведения о порядке досудебного обжалования решений контрольного органа, действий (бездействия) его должностных лиц;</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13) доклады, содержащие результаты обобщения правоприменительной практики контрольного органа;</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14) доклады о муниципальном контроле;</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color w:val="auto"/>
          <w:sz w:val="28"/>
          <w:szCs w:val="28"/>
          <w:lang w:val="x-none" w:eastAsia="x-none"/>
        </w:rPr>
      </w:pPr>
      <w:r>
        <w:rPr>
          <w:rFonts w:cs="DejaVu Math TeX Gyre" w:ascii="Arimo" w:hAnsi="Arimo"/>
          <w:b w:val="false"/>
          <w:bCs w:val="false"/>
          <w:color w:val="auto"/>
          <w:sz w:val="24"/>
          <w:szCs w:val="24"/>
          <w:lang w:val="x-none" w:eastAsia="x-none"/>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Normal"/>
        <w:widowControl/>
        <w:tabs>
          <w:tab w:val="clear" w:pos="708"/>
          <w:tab w:val="left" w:pos="1134" w:leader="none"/>
        </w:tabs>
        <w:spacing w:before="0" w:after="0"/>
        <w:ind w:left="0" w:right="0" w:firstLine="709"/>
        <w:contextualSpacing/>
        <w:jc w:val="both"/>
        <w:rPr>
          <w:rFonts w:ascii="DejaVu Math TeX Gyre" w:hAnsi="DejaVu Math TeX Gyre" w:cs="DejaVu Math TeX Gyre"/>
          <w:sz w:val="28"/>
          <w:szCs w:val="28"/>
        </w:rPr>
      </w:pPr>
      <w:r>
        <w:rPr>
          <w:rFonts w:cs="DejaVu Math TeX Gyre" w:ascii="Arimo" w:hAnsi="Arimo"/>
          <w:b w:val="false"/>
          <w:bCs w:val="false"/>
          <w:color w:val="auto"/>
          <w:sz w:val="24"/>
          <w:szCs w:val="24"/>
          <w:lang w:val="x-none" w:eastAsia="x-none"/>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w:t>
      </w:r>
      <w:r>
        <w:rPr>
          <w:rFonts w:cs="DejaVu Math TeX Gyre" w:ascii="Arimo" w:hAnsi="Arimo"/>
          <w:b w:val="false"/>
          <w:bCs w:val="false"/>
          <w:sz w:val="24"/>
          <w:szCs w:val="24"/>
        </w:rPr>
        <w:t xml:space="preserve">Контрольный орган обязан поддерживать указанные сведения в актуальном состоянии.  </w:t>
      </w:r>
    </w:p>
    <w:p>
      <w:pPr>
        <w:pStyle w:val="Normal"/>
        <w:widowControl/>
        <w:tabs>
          <w:tab w:val="clear" w:pos="708"/>
          <w:tab w:val="left" w:pos="1134" w:leader="none"/>
        </w:tabs>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center"/>
        <w:rPr>
          <w:rFonts w:ascii="DejaVu Math TeX Gyre" w:hAnsi="DejaVu Math TeX Gyre" w:cs="DejaVu Math TeX Gyre"/>
          <w:sz w:val="28"/>
          <w:szCs w:val="28"/>
        </w:rPr>
      </w:pPr>
      <w:r>
        <w:rPr>
          <w:rFonts w:cs="DejaVu Math TeX Gyre" w:ascii="Arimo" w:hAnsi="Arimo"/>
          <w:b w:val="false"/>
          <w:bCs w:val="false"/>
          <w:sz w:val="24"/>
          <w:szCs w:val="24"/>
        </w:rPr>
        <w:t>3.2. Обобщение правоприменительной практики</w:t>
      </w:r>
    </w:p>
    <w:p>
      <w:pPr>
        <w:pStyle w:val="ListParagraph"/>
        <w:widowControl/>
        <w:tabs>
          <w:tab w:val="clear" w:pos="708"/>
          <w:tab w:val="left" w:pos="1134" w:leader="none"/>
        </w:tabs>
        <w:ind w:left="0" w:right="0" w:firstLine="709"/>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284" w:firstLine="709"/>
        <w:jc w:val="both"/>
        <w:rPr>
          <w:rFonts w:ascii="DejaVu Math TeX Gyre" w:hAnsi="DejaVu Math TeX Gyre" w:eastAsia="Calibri" w:cs="DejaVu Math TeX Gyre"/>
          <w:color w:val="auto"/>
          <w:sz w:val="28"/>
          <w:szCs w:val="28"/>
          <w:lang w:eastAsia="en-US"/>
        </w:rPr>
      </w:pPr>
      <w:r>
        <w:rPr>
          <w:rFonts w:cs="DejaVu Math TeX Gyre" w:ascii="Arimo" w:hAnsi="Arimo"/>
          <w:b w:val="false"/>
          <w:bCs w:val="false"/>
          <w:sz w:val="24"/>
          <w:szCs w:val="24"/>
        </w:rPr>
        <w:t xml:space="preserve">3.2.1. </w:t>
      </w:r>
      <w:r>
        <w:rPr>
          <w:rFonts w:eastAsia="Calibri" w:cs="DejaVu Math TeX Gyre" w:ascii="Arimo" w:hAnsi="Arimo"/>
          <w:b w:val="false"/>
          <w:bCs w:val="false"/>
          <w:color w:val="auto"/>
          <w:sz w:val="24"/>
          <w:szCs w:val="24"/>
          <w:lang w:eastAsia="en-US"/>
        </w:rPr>
        <w:t>Обобщение правоприменительной практики проводится Контрольным органом 1 раз в год и направлено на решение следующих задач:</w:t>
      </w:r>
    </w:p>
    <w:p>
      <w:pPr>
        <w:pStyle w:val="Normal"/>
        <w:widowControl/>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pPr>
        <w:pStyle w:val="Normal"/>
        <w:widowControl/>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Normal"/>
        <w:widowControl/>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pPr>
        <w:pStyle w:val="Normal"/>
        <w:widowControl/>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4) подготовка предложений об актуализации обязательных требований;</w:t>
      </w:r>
    </w:p>
    <w:p>
      <w:pPr>
        <w:pStyle w:val="Normal"/>
        <w:widowControl/>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Normal"/>
        <w:widowControl/>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3.2.2. Обобщение правоприменительной практики осуществления муниципального контроля осуществляется Контрольным органом посредством сбора и анализа данных о проведенных контрольных мероприятиях и их результатах.</w:t>
      </w:r>
    </w:p>
    <w:p>
      <w:pPr>
        <w:pStyle w:val="Normal"/>
        <w:widowControl/>
        <w:ind w:left="0" w:right="-284" w:firstLine="709"/>
        <w:jc w:val="both"/>
        <w:rPr>
          <w:rFonts w:ascii="DejaVu Math TeX Gyre" w:hAnsi="DejaVu Math TeX Gyre" w:eastAsia="Calibri" w:cs="DejaVu Math TeX Gyre"/>
          <w:color w:val="auto"/>
          <w:sz w:val="28"/>
          <w:szCs w:val="28"/>
          <w:lang w:eastAsia="en-US"/>
        </w:rPr>
      </w:pPr>
      <w:r>
        <w:rPr>
          <w:rFonts w:eastAsia="Calibri" w:cs="DejaVu Math TeX Gyre" w:ascii="Arimo" w:hAnsi="Arimo"/>
          <w:b w:val="false"/>
          <w:bCs w:val="false"/>
          <w:color w:val="auto"/>
          <w:sz w:val="24"/>
          <w:szCs w:val="24"/>
          <w:lang w:eastAsia="en-US"/>
        </w:rPr>
        <w:t>3.2.3 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pPr>
        <w:pStyle w:val="Normal"/>
        <w:widowControl/>
        <w:ind w:left="0" w:right="-284" w:firstLine="709"/>
        <w:jc w:val="both"/>
        <w:rPr>
          <w:rFonts w:ascii="DejaVu Math TeX Gyre" w:hAnsi="DejaVu Math TeX Gyre" w:cs="DejaVu Math TeX Gyre"/>
          <w:sz w:val="28"/>
          <w:szCs w:val="28"/>
        </w:rPr>
      </w:pPr>
      <w:r>
        <w:rPr>
          <w:rFonts w:eastAsia="Calibri" w:cs="DejaVu Math TeX Gyre" w:ascii="Arimo" w:hAnsi="Arimo"/>
          <w:b w:val="false"/>
          <w:bCs w:val="false"/>
          <w:color w:val="auto"/>
          <w:sz w:val="24"/>
          <w:szCs w:val="24"/>
          <w:lang w:eastAsia="en-US"/>
        </w:rPr>
        <w:t xml:space="preserve">3.2.4 Доклад о правоприменительной практике утверждается распоряжением Исполнительного комитета муниципального образования «город Агрыз»  Агрызского муниципального района Республики Татарстан и размещается на официальном сайте </w:t>
      </w:r>
      <w:r>
        <w:rPr>
          <w:rFonts w:cs="DejaVu Math TeX Gyre" w:ascii="Arimo" w:hAnsi="Arimo"/>
          <w:b w:val="false"/>
          <w:bCs w:val="false"/>
          <w:color w:val="000000"/>
          <w:sz w:val="24"/>
          <w:szCs w:val="24"/>
        </w:rPr>
        <w:t xml:space="preserve">Агрызского муниципального района в составе портала муниципальных образований Республики Татарстан </w:t>
      </w:r>
      <w:r>
        <w:rPr>
          <w:rFonts w:eastAsia="Calibri" w:cs="DejaVu Math TeX Gyre" w:ascii="Arimo" w:hAnsi="Arimo"/>
          <w:b w:val="false"/>
          <w:bCs w:val="false"/>
          <w:color w:val="auto"/>
          <w:sz w:val="24"/>
          <w:szCs w:val="24"/>
          <w:lang w:eastAsia="en-US"/>
        </w:rPr>
        <w:t xml:space="preserve">в информационно-телекоммуникационной сети «Интернет» </w:t>
      </w:r>
      <w:r>
        <w:rPr>
          <w:rFonts w:cs="DejaVu Math TeX Gyre" w:ascii="Arimo" w:hAnsi="Arimo"/>
          <w:b w:val="false"/>
          <w:bCs w:val="false"/>
          <w:color w:val="000000"/>
          <w:sz w:val="24"/>
          <w:szCs w:val="24"/>
        </w:rPr>
        <w:t>(</w:t>
      </w:r>
      <w:hyperlink r:id="rId3">
        <w:r>
          <w:rPr>
            <w:rStyle w:val="-"/>
            <w:rFonts w:cs="DejaVu Math TeX Gyre" w:ascii="Arimo" w:hAnsi="Arimo"/>
            <w:b w:val="false"/>
            <w:bCs w:val="false"/>
            <w:color w:val="000000"/>
            <w:sz w:val="24"/>
            <w:szCs w:val="24"/>
            <w:u w:val="none"/>
          </w:rPr>
          <w:t>https://agryz.tatarstan.ru</w:t>
        </w:r>
      </w:hyperlink>
      <w:r>
        <w:rPr>
          <w:rFonts w:cs="DejaVu Math TeX Gyre" w:ascii="Arimo" w:hAnsi="Arimo"/>
          <w:b w:val="false"/>
          <w:bCs w:val="false"/>
          <w:color w:val="000000"/>
          <w:sz w:val="24"/>
          <w:szCs w:val="24"/>
        </w:rPr>
        <w:t xml:space="preserve">) </w:t>
      </w:r>
      <w:r>
        <w:rPr>
          <w:rFonts w:eastAsia="Calibri" w:cs="DejaVu Math TeX Gyre" w:ascii="Arimo" w:hAnsi="Arimo"/>
          <w:b w:val="false"/>
          <w:bCs w:val="false"/>
          <w:color w:val="auto"/>
          <w:sz w:val="24"/>
          <w:szCs w:val="24"/>
          <w:lang w:eastAsia="en-US"/>
        </w:rPr>
        <w:t>не позднее 10 марта года, следующего за отчетным.</w:t>
      </w:r>
    </w:p>
    <w:p>
      <w:pPr>
        <w:pStyle w:val="Normal"/>
        <w:widowControl/>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jc w:val="center"/>
        <w:rPr>
          <w:rFonts w:ascii="DejaVu Math TeX Gyre" w:hAnsi="DejaVu Math TeX Gyre" w:cs="DejaVu Math TeX Gyre"/>
          <w:sz w:val="28"/>
          <w:szCs w:val="28"/>
        </w:rPr>
      </w:pPr>
      <w:r>
        <w:rPr>
          <w:rFonts w:cs="DejaVu Math TeX Gyre" w:ascii="Arimo" w:hAnsi="Arimo"/>
          <w:b w:val="false"/>
          <w:bCs w:val="false"/>
          <w:sz w:val="24"/>
          <w:szCs w:val="24"/>
        </w:rPr>
        <w:t>3.3. Предостережение о недопустимости нарушения обязательных требований</w:t>
      </w:r>
    </w:p>
    <w:p>
      <w:pPr>
        <w:pStyle w:val="Normal"/>
        <w:widowControl/>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3.3.3. Контролируемое лицо в течение десяти рабочих дней со дня получения предостережения имеет право подать в Контрольный орган возражение в отношении предостережения.</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3.3.4. Возражение должно содержать:</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наименование Контрольного органа, в который направляется возражение;</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дату и номер предостережения;</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доводы, на основании которых контролируемое лицо не согласно с объявленным предостережением;</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 дату получения предостережения контролируемым лицом;</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6) личную подпись и дату.</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7) идентификационный номер налогоплательщика – юридического лица, индивидуального предпринимателя; </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8) серия и номер паспорта или иного документа, удостоверяющего личность, адрес места жительства (для граждан).</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3.3.5.  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усиленной электронной подписью на указанный в предостережении адрес электронной почты Контрольного органа либо иными, указанными в предостережении, способами.</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3.3.6.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3.3.7.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3.3.8. По результатам рассмотрения возражения Контрольный орган принимает одно из следующих решений:</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удовлетворяет возражение в форме отмены предостережения;</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отказывает в удовлетворении возражения с указанием причины отказа.</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3.3.9. Контрольный орган информирует контролируемое лицо о результатах рассмотрения возражения не позднее пяти</w:t>
      </w:r>
      <w:r>
        <w:rPr>
          <w:rFonts w:cs="DejaVu Math TeX Gyre" w:ascii="Arimo" w:hAnsi="Arimo"/>
          <w:b w:val="false"/>
          <w:bCs w:val="false"/>
          <w:sz w:val="24"/>
          <w:szCs w:val="24"/>
          <w:vertAlign w:val="superscript"/>
        </w:rPr>
        <w:t xml:space="preserve"> </w:t>
      </w:r>
      <w:r>
        <w:rPr>
          <w:rFonts w:cs="DejaVu Math TeX Gyre" w:ascii="Arimo" w:hAnsi="Arimo"/>
          <w:b w:val="false"/>
          <w:bCs w:val="false"/>
          <w:sz w:val="24"/>
          <w:szCs w:val="24"/>
        </w:rPr>
        <w:t>рабочих дней со дня рассмотрения возражения в отношении предостережения.</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3.3.10. Повторное направление возражения по тем же основаниям не допускается.</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3.3.11.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HTMLPreformatted"/>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jc w:val="center"/>
        <w:rPr>
          <w:rFonts w:ascii="DejaVu Math TeX Gyre" w:hAnsi="DejaVu Math TeX Gyre" w:cs="DejaVu Math TeX Gyre"/>
          <w:sz w:val="28"/>
          <w:szCs w:val="28"/>
        </w:rPr>
      </w:pPr>
      <w:r>
        <w:rPr>
          <w:rFonts w:cs="DejaVu Math TeX Gyre" w:ascii="Arimo" w:hAnsi="Arimo"/>
          <w:b w:val="false"/>
          <w:bCs w:val="false"/>
          <w:sz w:val="24"/>
          <w:szCs w:val="24"/>
        </w:rPr>
        <w:t>3.4. Консультирование</w:t>
      </w:r>
    </w:p>
    <w:p>
      <w:pPr>
        <w:pStyle w:val="Normal"/>
        <w:widowControl/>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8"/>
          <w:tab w:val="left" w:pos="1134" w:leader="none"/>
        </w:tabs>
        <w:ind w:left="709" w:right="0" w:hanging="0"/>
        <w:jc w:val="both"/>
        <w:rPr>
          <w:rFonts w:ascii="DejaVu Math TeX Gyre" w:hAnsi="DejaVu Math TeX Gyre" w:cs="DejaVu Math TeX Gyre"/>
          <w:sz w:val="28"/>
          <w:szCs w:val="28"/>
        </w:rPr>
      </w:pPr>
      <w:r>
        <w:rPr>
          <w:rFonts w:cs="DejaVu Math TeX Gyre" w:ascii="Arimo" w:hAnsi="Arimo"/>
          <w:b w:val="false"/>
          <w:bCs w:val="false"/>
          <w:sz w:val="24"/>
          <w:szCs w:val="24"/>
        </w:rPr>
        <w:t>1) порядка проведения контрольных мероприятий;</w:t>
      </w:r>
    </w:p>
    <w:p>
      <w:pPr>
        <w:pStyle w:val="ConsPlusNormal"/>
        <w:tabs>
          <w:tab w:val="clear" w:pos="708"/>
          <w:tab w:val="left" w:pos="1134" w:leader="none"/>
        </w:tabs>
        <w:ind w:left="709" w:right="0" w:hanging="0"/>
        <w:jc w:val="both"/>
        <w:rPr>
          <w:rFonts w:ascii="DejaVu Math TeX Gyre" w:hAnsi="DejaVu Math TeX Gyre" w:cs="DejaVu Math TeX Gyre"/>
          <w:sz w:val="28"/>
          <w:szCs w:val="28"/>
        </w:rPr>
      </w:pPr>
      <w:r>
        <w:rPr>
          <w:rFonts w:cs="DejaVu Math TeX Gyre" w:ascii="Arimo" w:hAnsi="Arimo"/>
          <w:b w:val="false"/>
          <w:bCs w:val="false"/>
          <w:sz w:val="24"/>
          <w:szCs w:val="24"/>
        </w:rPr>
        <w:t>2) периодичности проведения контрольных мероприятий;</w:t>
      </w:r>
    </w:p>
    <w:p>
      <w:pPr>
        <w:pStyle w:val="ConsPlusNormal"/>
        <w:tabs>
          <w:tab w:val="clear" w:pos="708"/>
          <w:tab w:val="left" w:pos="1134" w:leader="none"/>
        </w:tabs>
        <w:ind w:left="709" w:right="0" w:hanging="0"/>
        <w:jc w:val="both"/>
        <w:rPr>
          <w:rFonts w:ascii="DejaVu Math TeX Gyre" w:hAnsi="DejaVu Math TeX Gyre" w:cs="DejaVu Math TeX Gyre"/>
          <w:sz w:val="28"/>
          <w:szCs w:val="28"/>
        </w:rPr>
      </w:pPr>
      <w:r>
        <w:rPr>
          <w:rFonts w:cs="DejaVu Math TeX Gyre" w:ascii="Arimo" w:hAnsi="Arimo"/>
          <w:b w:val="false"/>
          <w:bCs w:val="false"/>
          <w:sz w:val="24"/>
          <w:szCs w:val="24"/>
        </w:rPr>
        <w:t>3) порядка принятия решений по итогам контрольных мероприятий;</w:t>
      </w:r>
    </w:p>
    <w:p>
      <w:pPr>
        <w:pStyle w:val="ConsPlusNormal"/>
        <w:tabs>
          <w:tab w:val="clear" w:pos="708"/>
          <w:tab w:val="left" w:pos="1134" w:leader="none"/>
        </w:tabs>
        <w:ind w:left="709" w:right="0" w:hanging="0"/>
        <w:jc w:val="both"/>
        <w:rPr>
          <w:rFonts w:ascii="DejaVu Math TeX Gyre" w:hAnsi="DejaVu Math TeX Gyre" w:cs="DejaVu Math TeX Gyre"/>
          <w:sz w:val="28"/>
          <w:szCs w:val="28"/>
        </w:rPr>
      </w:pPr>
      <w:r>
        <w:rPr>
          <w:rFonts w:cs="DejaVu Math TeX Gyre" w:ascii="Arimo" w:hAnsi="Arimo"/>
          <w:b w:val="false"/>
          <w:bCs w:val="false"/>
          <w:sz w:val="24"/>
          <w:szCs w:val="24"/>
        </w:rPr>
        <w:t>4) порядка обжалования решений Контрольного органа.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3.4.2. Инспекторы осуществляют консультирование контролируемых лиц и их представителей: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3.4.3. На консультирование можно записаться, в том числе через Единый портал государственных услуг (далее - ЕПГУ).</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3.4.4.Индивидуальное консультирование на личном приеме каждого заявителя инспекторами не превышает 10 минут.</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Время разговора по телефону не должно превышать 10 минут.</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3.4.5.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3.4.6. Консультирование в письменной форме осуществляется должностным лицом Контрольного органа в следующих случаях:</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а) контролируемым лицом представлен письменный запрос о представлении письменного ответа по вопросам консультирования;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б) за время консультирования предоставить ответ на поставленные вопросы невозможно;</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ответ на поставленные вопросы требует дополнительного запроса сведений.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3.4.7. Контролируемое лицо имеет право направить запрос о предоставлении письменного ответа в сроки, установленные Федеральным </w:t>
      </w:r>
      <w:hyperlink r:id="rId4">
        <w:r>
          <w:rPr>
            <w:rStyle w:val="-"/>
            <w:rFonts w:cs="DejaVu Math TeX Gyre" w:ascii="Arimo" w:hAnsi="Arimo"/>
            <w:b w:val="false"/>
            <w:bCs w:val="false"/>
            <w:sz w:val="24"/>
            <w:szCs w:val="24"/>
          </w:rPr>
          <w:t>законом</w:t>
        </w:r>
      </w:hyperlink>
      <w:r>
        <w:rPr>
          <w:rFonts w:cs="DejaVu Math TeX Gyre" w:ascii="Arimo" w:hAnsi="Arimo"/>
          <w:b w:val="false"/>
          <w:bCs w:val="false"/>
          <w:sz w:val="24"/>
          <w:szCs w:val="24"/>
        </w:rPr>
        <w:t xml:space="preserve"> от 2 мая 2006 года № 59-ФЗ «О порядке рассмотрения обращений граждан Российской Федерации».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3.4.8. Контрольный орган осуществляет учет проведенных консультирований.</w:t>
      </w:r>
    </w:p>
    <w:p>
      <w:pPr>
        <w:pStyle w:val="ConsPlus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3.5. Профилактический визит</w:t>
      </w:r>
    </w:p>
    <w:p>
      <w:pPr>
        <w:pStyle w:val="ConsPlusNormal"/>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 xml:space="preserve">3.5.1. </w:t>
      </w:r>
      <w:r>
        <w:rPr>
          <w:rFonts w:cs="DejaVu Math TeX Gyre" w:ascii="Arimo" w:hAnsi="Arimo"/>
          <w:b w:val="false"/>
          <w:bCs w:val="false"/>
          <w:sz w:val="24"/>
          <w:szCs w:val="24"/>
          <w:shd w:fill="auto" w:val="clear"/>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 xml:space="preserve">3.5.2. В ходе профилактического </w:t>
      </w:r>
      <w:bookmarkStart w:id="2" w:name="P059B"/>
      <w:bookmarkStart w:id="3" w:name="startSelection_Копия_2"/>
      <w:bookmarkEnd w:id="2"/>
      <w:bookmarkEnd w:id="3"/>
      <w:r>
        <w:rPr>
          <w:rFonts w:cs="DejaVu Math TeX Gyre" w:ascii="Arimo" w:hAnsi="Arimo"/>
          <w:b w:val="false"/>
          <w:bCs w:val="false"/>
          <w:sz w:val="24"/>
          <w:szCs w:val="24"/>
        </w:rPr>
        <w:t>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widowContro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 Контрольные мероприятия, проводимые в рамках муниципального контроля</w:t>
      </w:r>
    </w:p>
    <w:p>
      <w:pPr>
        <w:pStyle w:val="ListParagraph"/>
        <w:widowControl/>
        <w:tabs>
          <w:tab w:val="clear" w:pos="708"/>
          <w:tab w:val="left" w:pos="1134" w:leader="none"/>
        </w:tabs>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tabs>
          <w:tab w:val="clear" w:pos="708"/>
          <w:tab w:val="left" w:pos="1134" w:leader="none"/>
        </w:tabs>
        <w:jc w:val="center"/>
        <w:rPr>
          <w:rFonts w:ascii="DejaVu Math TeX Gyre" w:hAnsi="DejaVu Math TeX Gyre" w:cs="DejaVu Math TeX Gyre"/>
          <w:sz w:val="28"/>
          <w:szCs w:val="28"/>
        </w:rPr>
      </w:pPr>
      <w:r>
        <w:rPr>
          <w:rFonts w:cs="DejaVu Math TeX Gyre" w:ascii="Arimo" w:hAnsi="Arimo"/>
          <w:b w:val="false"/>
          <w:bCs w:val="false"/>
          <w:color w:val="auto"/>
          <w:sz w:val="24"/>
          <w:szCs w:val="24"/>
        </w:rPr>
        <w:t>4.1. Контрольные мероприятия. Общие вопросы</w:t>
      </w:r>
    </w:p>
    <w:p>
      <w:pPr>
        <w:pStyle w:val="Normal"/>
        <w:widowControl/>
        <w:tabs>
          <w:tab w:val="clear" w:pos="708"/>
          <w:tab w:val="left" w:pos="1134" w:leader="none"/>
        </w:tabs>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наблюдение за соблюдением обязательных требований, выездное обследование – без взаимодействия с контролируемыми лицами;</w:t>
      </w:r>
    </w:p>
    <w:p>
      <w:pPr>
        <w:pStyle w:val="ConsPlusNormal"/>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color w:val="000000"/>
          <w:sz w:val="24"/>
          <w:szCs w:val="24"/>
          <w:shd w:fill="auto" w:val="clear"/>
        </w:rPr>
        <w:t>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4.1.2. При осуществлении муниципального контроля взаимодействием с контролируемыми лицами являются: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запрос документов, иных материалов; </w:t>
      </w:r>
    </w:p>
    <w:p>
      <w:pPr>
        <w:pStyle w:val="ListParagraph"/>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 xml:space="preserve">4.1.3. Контрольные мероприятия, осуществляемые при </w:t>
      </w:r>
      <w:r>
        <w:rPr>
          <w:rFonts w:cs="DejaVu Math TeX Gyre" w:ascii="Arimo" w:hAnsi="Arimo"/>
          <w:b w:val="false"/>
          <w:bCs w:val="false"/>
          <w:color w:val="auto"/>
          <w:sz w:val="24"/>
          <w:szCs w:val="24"/>
          <w:lang w:eastAsia="en-US"/>
        </w:rPr>
        <w:t xml:space="preserve">взаимодействии с контролируемым лицом, </w:t>
      </w:r>
      <w:r>
        <w:rPr>
          <w:rFonts w:cs="DejaVu Math TeX Gyre" w:ascii="Arimo" w:hAnsi="Arimo"/>
          <w:b w:val="false"/>
          <w:bCs w:val="false"/>
          <w:color w:val="auto"/>
          <w:sz w:val="24"/>
          <w:szCs w:val="24"/>
        </w:rPr>
        <w:t>проводятся Контрольным органом по следующим основаниям:</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r>
          <w:rPr>
            <w:rStyle w:val="-"/>
            <w:rFonts w:cs="DejaVu Math TeX Gyre" w:ascii="Arimo" w:hAnsi="Arimo"/>
            <w:b w:val="false"/>
            <w:bCs w:val="false"/>
            <w:color w:val="auto"/>
            <w:sz w:val="24"/>
            <w:szCs w:val="24"/>
          </w:rPr>
          <w:t>частью 1 статьи 95</w:t>
        </w:r>
      </w:hyperlink>
      <w:r>
        <w:rPr>
          <w:rFonts w:cs="DejaVu Math TeX Gyre" w:ascii="Arimo" w:hAnsi="Arimo"/>
          <w:b w:val="false"/>
          <w:bCs w:val="false"/>
          <w:color w:val="auto"/>
          <w:sz w:val="24"/>
          <w:szCs w:val="24"/>
        </w:rPr>
        <w:t xml:space="preserve"> Федерального закона </w:t>
      </w:r>
      <w:r>
        <w:rPr>
          <w:rFonts w:cs="DejaVu Math TeX Gyre" w:ascii="Arimo" w:hAnsi="Arimo"/>
          <w:b w:val="false"/>
          <w:bCs w:val="false"/>
          <w:sz w:val="24"/>
          <w:szCs w:val="24"/>
          <w:shd w:fill="auto" w:val="clear"/>
        </w:rPr>
        <w:t>№ 248-ФЗ.</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Pr>
          <w:rFonts w:cs="DejaVu Math TeX Gyre" w:ascii="Arimo" w:hAnsi="Arimo"/>
          <w:b w:val="false"/>
          <w:bCs w:val="false"/>
          <w:sz w:val="24"/>
          <w:szCs w:val="24"/>
          <w:shd w:fill="auto" w:val="clear"/>
        </w:rPr>
        <w:t xml:space="preserve"> № 248-ФЗ.</w:t>
      </w:r>
    </w:p>
    <w:p>
      <w:pPr>
        <w:pStyle w:val="Style27"/>
        <w:widowControl/>
        <w:tabs>
          <w:tab w:val="clear" w:pos="708"/>
          <w:tab w:val="left" w:pos="1134" w:leader="none"/>
        </w:tabs>
        <w:spacing w:lineRule="auto" w:line="240" w:before="0" w:after="0"/>
        <w:ind w:left="0" w:right="0" w:firstLine="709"/>
        <w:jc w:val="both"/>
        <w:rPr>
          <w:rFonts w:ascii="DejaVu Math TeX Gyre" w:hAnsi="DejaVu Math TeX Gyre" w:cs="DejaVu Math TeX Gyre"/>
          <w:sz w:val="28"/>
          <w:szCs w:val="28"/>
          <w:shd w:fill="auto" w:val="clear"/>
        </w:rPr>
      </w:pPr>
      <w:bookmarkStart w:id="4" w:name="P0679"/>
      <w:bookmarkEnd w:id="4"/>
      <w:r>
        <w:rPr>
          <w:rFonts w:cs="DejaVu Math TeX Gyre" w:ascii="Arimo" w:hAnsi="Arimo"/>
          <w:b w:val="false"/>
          <w:bCs w:val="false"/>
          <w:sz w:val="24"/>
          <w:szCs w:val="24"/>
          <w:shd w:fill="auto" w:val="clear"/>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bookmarkStart w:id="5" w:name="P067A"/>
      <w:bookmarkEnd w:id="5"/>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6" w:name="P067B"/>
      <w:bookmarkEnd w:id="6"/>
      <w:r>
        <w:rPr>
          <w:rFonts w:cs="DejaVu Math TeX Gyre" w:ascii="Arimo" w:hAnsi="Arimo"/>
          <w:b w:val="false"/>
          <w:bCs w:val="false"/>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7" w:name="P067D"/>
      <w:bookmarkEnd w:id="7"/>
      <w:r>
        <w:rPr>
          <w:rFonts w:cs="DejaVu Math TeX Gyre" w:ascii="Arimo" w:hAnsi="Arimo"/>
          <w:b w:val="false"/>
          <w:bCs w:val="false"/>
          <w:sz w:val="24"/>
          <w:szCs w:val="24"/>
          <w:shd w:fill="auto" w:val="clear"/>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w:t>
      </w:r>
      <w:r>
        <w:rPr>
          <w:rFonts w:cs="DejaVu Math TeX Gyre" w:ascii="Arimo" w:hAnsi="Arimo"/>
          <w:b w:val="false"/>
          <w:bCs w:val="false"/>
          <w:color w:val="000000"/>
          <w:sz w:val="24"/>
          <w:szCs w:val="24"/>
          <w:shd w:fill="auto" w:val="clear"/>
        </w:rPr>
        <w:t xml:space="preserve">установленного </w:t>
      </w:r>
      <w:hyperlink r:id="rId6">
        <w:r>
          <w:rPr>
            <w:rStyle w:val="-"/>
            <w:rFonts w:cs="DejaVu Math TeX Gyre" w:ascii="Arimo" w:hAnsi="Arimo"/>
            <w:b w:val="false"/>
            <w:bCs w:val="false"/>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DejaVu Math TeX Gyre" w:ascii="Arimo" w:hAnsi="Arimo"/>
          <w:b w:val="false"/>
          <w:bCs w:val="false"/>
          <w:color w:val="000000"/>
          <w:sz w:val="24"/>
          <w:szCs w:val="24"/>
          <w:shd w:fill="auto" w:val="clear"/>
        </w:rPr>
        <w:t>, в случае, если представление такого уведомления является обязательным, или без лицензии, предусмотренной для видов деятельности, указанных в п</w:t>
      </w:r>
      <w:hyperlink r:id="rId7">
        <w:r>
          <w:rPr>
            <w:rStyle w:val="-"/>
            <w:rFonts w:cs="DejaVu Math TeX Gyre" w:ascii="Arimo" w:hAnsi="Arimo"/>
            <w:b w:val="false"/>
            <w:bCs w:val="false"/>
            <w:color w:val="000000"/>
            <w:sz w:val="24"/>
            <w:szCs w:val="24"/>
            <w:u w:val="none"/>
            <w:shd w:fill="auto" w:val="clear"/>
          </w:rPr>
          <w:t>унктах 6</w:t>
        </w:r>
      </w:hyperlink>
      <w:r>
        <w:rPr>
          <w:rFonts w:cs="DejaVu Math TeX Gyre" w:ascii="Arimo" w:hAnsi="Arimo"/>
          <w:b w:val="false"/>
          <w:bCs w:val="false"/>
          <w:color w:val="000000"/>
          <w:sz w:val="24"/>
          <w:szCs w:val="24"/>
          <w:shd w:fill="auto" w:val="clear"/>
        </w:rPr>
        <w:t>-</w:t>
      </w:r>
      <w:hyperlink r:id="rId8">
        <w:r>
          <w:rPr>
            <w:rStyle w:val="-"/>
            <w:rFonts w:cs="DejaVu Math TeX Gyre" w:ascii="Arimo" w:hAnsi="Arimo"/>
            <w:b w:val="false"/>
            <w:bCs w:val="false"/>
            <w:color w:val="000000"/>
            <w:sz w:val="24"/>
            <w:szCs w:val="24"/>
            <w:u w:val="none"/>
            <w:shd w:fill="auto" w:val="clear"/>
          </w:rPr>
          <w:t>9.1</w:t>
        </w:r>
      </w:hyperlink>
      <w:r>
        <w:rPr>
          <w:rFonts w:cs="DejaVu Math TeX Gyre" w:ascii="Arimo" w:hAnsi="Arimo"/>
          <w:b w:val="false"/>
          <w:bCs w:val="false"/>
          <w:color w:val="000000"/>
          <w:sz w:val="24"/>
          <w:szCs w:val="24"/>
          <w:shd w:fill="auto" w:val="clear"/>
        </w:rPr>
        <w:t xml:space="preserve">, </w:t>
      </w:r>
      <w:hyperlink r:id="rId9">
        <w:r>
          <w:rPr>
            <w:rStyle w:val="-"/>
            <w:rFonts w:cs="DejaVu Math TeX Gyre" w:ascii="Arimo" w:hAnsi="Arimo"/>
            <w:b w:val="false"/>
            <w:bCs w:val="false"/>
            <w:color w:val="000000"/>
            <w:sz w:val="24"/>
            <w:szCs w:val="24"/>
            <w:u w:val="none"/>
            <w:shd w:fill="auto" w:val="clear"/>
          </w:rPr>
          <w:t>1</w:t>
        </w:r>
      </w:hyperlink>
      <w:r>
        <w:rPr>
          <w:rFonts w:cs="DejaVu Math TeX Gyre" w:ascii="Arimo" w:hAnsi="Arimo"/>
          <w:b w:val="false"/>
          <w:bCs w:val="false"/>
          <w:color w:val="000000"/>
          <w:sz w:val="24"/>
          <w:szCs w:val="24"/>
          <w:shd w:fill="auto" w:val="clear"/>
        </w:rPr>
        <w:t>,</w:t>
      </w:r>
      <w:hyperlink r:id="rId10">
        <w:r>
          <w:rPr>
            <w:rStyle w:val="-"/>
            <w:rFonts w:cs="DejaVu Math TeX Gyre" w:ascii="Arimo" w:hAnsi="Arimo"/>
            <w:b w:val="false"/>
            <w:bCs w:val="false"/>
            <w:color w:val="000000"/>
            <w:sz w:val="24"/>
            <w:szCs w:val="24"/>
            <w:u w:val="none"/>
            <w:shd w:fill="auto" w:val="clear"/>
          </w:rPr>
          <w:t>12</w:t>
        </w:r>
      </w:hyperlink>
      <w:r>
        <w:rPr>
          <w:rFonts w:cs="DejaVu Math TeX Gyre" w:ascii="Arimo" w:hAnsi="Arimo"/>
          <w:b w:val="false"/>
          <w:bCs w:val="false"/>
          <w:color w:val="000000"/>
          <w:sz w:val="24"/>
          <w:szCs w:val="24"/>
          <w:shd w:fill="auto" w:val="clear"/>
        </w:rPr>
        <w:t xml:space="preserve">, </w:t>
      </w:r>
      <w:hyperlink r:id="rId11">
        <w:r>
          <w:rPr>
            <w:rStyle w:val="-"/>
            <w:rFonts w:cs="DejaVu Math TeX Gyre" w:ascii="Arimo" w:hAnsi="Arimo"/>
            <w:b w:val="false"/>
            <w:bCs w:val="false"/>
            <w:color w:val="000000"/>
            <w:sz w:val="24"/>
            <w:szCs w:val="24"/>
            <w:u w:val="none"/>
            <w:shd w:fill="auto" w:val="clear"/>
          </w:rPr>
          <w:t>14</w:t>
        </w:r>
      </w:hyperlink>
      <w:r>
        <w:rPr>
          <w:rFonts w:cs="DejaVu Math TeX Gyre" w:ascii="Arimo" w:hAnsi="Arimo"/>
          <w:b w:val="false"/>
          <w:bCs w:val="false"/>
          <w:color w:val="000000"/>
          <w:sz w:val="24"/>
          <w:szCs w:val="24"/>
          <w:shd w:fill="auto" w:val="clear"/>
        </w:rPr>
        <w:t>-</w:t>
      </w:r>
      <w:hyperlink r:id="rId12">
        <w:r>
          <w:rPr>
            <w:rStyle w:val="-"/>
            <w:rFonts w:cs="DejaVu Math TeX Gyre" w:ascii="Arimo" w:hAnsi="Arimo"/>
            <w:b w:val="false"/>
            <w:bCs w:val="false"/>
            <w:color w:val="000000"/>
            <w:sz w:val="24"/>
            <w:szCs w:val="24"/>
            <w:u w:val="none"/>
            <w:shd w:fill="auto" w:val="clear"/>
          </w:rPr>
          <w:t>17</w:t>
        </w:r>
      </w:hyperlink>
      <w:r>
        <w:rPr>
          <w:rFonts w:cs="DejaVu Math TeX Gyre" w:ascii="Arimo" w:hAnsi="Arimo"/>
          <w:b w:val="false"/>
          <w:bCs w:val="false"/>
          <w:color w:val="000000"/>
          <w:sz w:val="24"/>
          <w:szCs w:val="24"/>
          <w:shd w:fill="auto" w:val="clear"/>
        </w:rPr>
        <w:t xml:space="preserve">, </w:t>
      </w:r>
      <w:hyperlink r:id="rId13">
        <w:r>
          <w:rPr>
            <w:rStyle w:val="-"/>
            <w:rFonts w:cs="DejaVu Math TeX Gyre" w:ascii="Arimo" w:hAnsi="Arimo"/>
            <w:b w:val="false"/>
            <w:bCs w:val="false"/>
            <w:color w:val="000000"/>
            <w:sz w:val="24"/>
            <w:szCs w:val="24"/>
            <w:u w:val="none"/>
            <w:shd w:fill="auto" w:val="clear"/>
          </w:rPr>
          <w:t>19</w:t>
        </w:r>
      </w:hyperlink>
      <w:r>
        <w:rPr>
          <w:rFonts w:cs="DejaVu Math TeX Gyre" w:ascii="Arimo" w:hAnsi="Arimo"/>
          <w:b w:val="false"/>
          <w:bCs w:val="false"/>
          <w:color w:val="000000"/>
          <w:sz w:val="24"/>
          <w:szCs w:val="24"/>
          <w:shd w:fill="auto" w:val="clear"/>
        </w:rPr>
        <w:t>-</w:t>
      </w:r>
      <w:hyperlink r:id="rId14">
        <w:r>
          <w:rPr>
            <w:rStyle w:val="-"/>
            <w:rFonts w:cs="DejaVu Math TeX Gyre" w:ascii="Arimo" w:hAnsi="Arimo"/>
            <w:b w:val="false"/>
            <w:bCs w:val="false"/>
            <w:color w:val="000000"/>
            <w:sz w:val="24"/>
            <w:szCs w:val="24"/>
            <w:u w:val="none"/>
            <w:shd w:fill="auto" w:val="clear"/>
          </w:rPr>
          <w:t>21</w:t>
        </w:r>
      </w:hyperlink>
      <w:r>
        <w:rPr>
          <w:rFonts w:cs="DejaVu Math TeX Gyre" w:ascii="Arimo" w:hAnsi="Arimo"/>
          <w:b w:val="false"/>
          <w:bCs w:val="false"/>
          <w:color w:val="000000"/>
          <w:sz w:val="24"/>
          <w:szCs w:val="24"/>
          <w:shd w:fill="auto" w:val="clear"/>
        </w:rPr>
        <w:t>,  </w:t>
      </w:r>
      <w:hyperlink r:id="rId15">
        <w:r>
          <w:rPr>
            <w:rStyle w:val="-"/>
            <w:rFonts w:cs="DejaVu Math TeX Gyre" w:ascii="Arimo" w:hAnsi="Arimo"/>
            <w:b w:val="false"/>
            <w:bCs w:val="false"/>
            <w:color w:val="000000"/>
            <w:sz w:val="24"/>
            <w:szCs w:val="24"/>
            <w:u w:val="none"/>
            <w:shd w:fill="auto" w:val="clear"/>
          </w:rPr>
          <w:t>24</w:t>
        </w:r>
      </w:hyperlink>
      <w:r>
        <w:rPr>
          <w:rFonts w:cs="DejaVu Math TeX Gyre" w:ascii="Arimo" w:hAnsi="Arimo"/>
          <w:b w:val="false"/>
          <w:bCs w:val="false"/>
          <w:color w:val="000000"/>
          <w:sz w:val="24"/>
          <w:szCs w:val="24"/>
          <w:shd w:fill="auto" w:val="clear"/>
        </w:rPr>
        <w:t>-</w:t>
      </w:r>
      <w:hyperlink r:id="rId16">
        <w:r>
          <w:rPr>
            <w:rStyle w:val="-"/>
            <w:rFonts w:cs="DejaVu Math TeX Gyre" w:ascii="Arimo" w:hAnsi="Arimo"/>
            <w:b w:val="false"/>
            <w:bCs w:val="false"/>
            <w:color w:val="000000"/>
            <w:sz w:val="24"/>
            <w:szCs w:val="24"/>
            <w:u w:val="none"/>
            <w:shd w:fill="auto" w:val="clear"/>
          </w:rPr>
          <w:t>31</w:t>
        </w:r>
      </w:hyperlink>
      <w:r>
        <w:rPr>
          <w:rFonts w:cs="DejaVu Math TeX Gyre" w:ascii="Arimo" w:hAnsi="Arimo"/>
          <w:b w:val="false"/>
          <w:bCs w:val="false"/>
          <w:color w:val="000000"/>
          <w:sz w:val="24"/>
          <w:szCs w:val="24"/>
          <w:shd w:fill="auto" w:val="clear"/>
        </w:rPr>
        <w:t xml:space="preserve">, </w:t>
      </w:r>
      <w:hyperlink r:id="rId17">
        <w:r>
          <w:rPr>
            <w:rStyle w:val="-"/>
            <w:rFonts w:cs="DejaVu Math TeX Gyre" w:ascii="Arimo" w:hAnsi="Arimo"/>
            <w:b w:val="false"/>
            <w:bCs w:val="false"/>
            <w:color w:val="000000"/>
            <w:sz w:val="24"/>
            <w:szCs w:val="24"/>
            <w:u w:val="none"/>
            <w:shd w:fill="auto" w:val="clear"/>
          </w:rPr>
          <w:t>34</w:t>
        </w:r>
      </w:hyperlink>
      <w:r>
        <w:rPr>
          <w:rFonts w:cs="DejaVu Math TeX Gyre" w:ascii="Arimo" w:hAnsi="Arimo"/>
          <w:b w:val="false"/>
          <w:bCs w:val="false"/>
          <w:color w:val="000000"/>
          <w:sz w:val="24"/>
          <w:szCs w:val="24"/>
          <w:shd w:fill="auto" w:val="clear"/>
        </w:rPr>
        <w:t>-</w:t>
      </w:r>
      <w:hyperlink r:id="rId18">
        <w:r>
          <w:rPr>
            <w:rStyle w:val="-"/>
            <w:rFonts w:cs="DejaVu Math TeX Gyre" w:ascii="Arimo" w:hAnsi="Arimo"/>
            <w:b w:val="false"/>
            <w:bCs w:val="false"/>
            <w:color w:val="000000"/>
            <w:sz w:val="24"/>
            <w:szCs w:val="24"/>
            <w:u w:val="none"/>
            <w:shd w:fill="auto" w:val="clear"/>
          </w:rPr>
          <w:t>36</w:t>
        </w:r>
      </w:hyperlink>
      <w:r>
        <w:rPr>
          <w:rFonts w:cs="DejaVu Math TeX Gyre" w:ascii="Arimo" w:hAnsi="Arimo"/>
          <w:b w:val="false"/>
          <w:bCs w:val="false"/>
          <w:color w:val="000000"/>
          <w:sz w:val="24"/>
          <w:szCs w:val="24"/>
          <w:shd w:fill="auto" w:val="clear"/>
        </w:rPr>
        <w:t xml:space="preserve">, </w:t>
      </w:r>
      <w:hyperlink r:id="rId19">
        <w:r>
          <w:rPr>
            <w:rStyle w:val="-"/>
            <w:rFonts w:cs="DejaVu Math TeX Gyre" w:ascii="Arimo" w:hAnsi="Arimo"/>
            <w:b w:val="false"/>
            <w:bCs w:val="false"/>
            <w:color w:val="000000"/>
            <w:sz w:val="24"/>
            <w:szCs w:val="24"/>
            <w:u w:val="none"/>
            <w:shd w:fill="auto" w:val="clear"/>
          </w:rPr>
          <w:t>39</w:t>
        </w:r>
      </w:hyperlink>
      <w:r>
        <w:rPr>
          <w:rFonts w:cs="DejaVu Math TeX Gyre" w:ascii="Arimo" w:hAnsi="Arimo"/>
          <w:b w:val="false"/>
          <w:bCs w:val="false"/>
          <w:color w:val="000000"/>
          <w:sz w:val="24"/>
          <w:szCs w:val="24"/>
          <w:shd w:fill="auto" w:val="clear"/>
        </w:rPr>
        <w:t xml:space="preserve">, </w:t>
      </w:r>
      <w:hyperlink r:id="rId20">
        <w:r>
          <w:rPr>
            <w:rStyle w:val="-"/>
            <w:rFonts w:cs="DejaVu Math TeX Gyre" w:ascii="Arimo" w:hAnsi="Arimo"/>
            <w:b w:val="false"/>
            <w:bCs w:val="false"/>
            <w:color w:val="000000"/>
            <w:sz w:val="24"/>
            <w:szCs w:val="24"/>
            <w:u w:val="none"/>
            <w:shd w:fill="auto" w:val="clear"/>
          </w:rPr>
          <w:t>40</w:t>
        </w:r>
      </w:hyperlink>
      <w:r>
        <w:rPr>
          <w:rFonts w:cs="DejaVu Math TeX Gyre" w:ascii="Arimo" w:hAnsi="Arimo"/>
          <w:b w:val="false"/>
          <w:bCs w:val="false"/>
          <w:color w:val="000000"/>
          <w:sz w:val="24"/>
          <w:szCs w:val="24"/>
          <w:shd w:fill="auto" w:val="clear"/>
        </w:rPr>
        <w:t xml:space="preserve">, </w:t>
      </w:r>
      <w:hyperlink r:id="rId21">
        <w:r>
          <w:rPr>
            <w:rStyle w:val="-"/>
            <w:rFonts w:cs="DejaVu Math TeX Gyre" w:ascii="Arimo" w:hAnsi="Arimo"/>
            <w:b w:val="false"/>
            <w:bCs w:val="false"/>
            <w:color w:val="000000"/>
            <w:sz w:val="24"/>
            <w:szCs w:val="24"/>
            <w:u w:val="none"/>
            <w:shd w:fill="auto" w:val="clear"/>
          </w:rPr>
          <w:t>42</w:t>
        </w:r>
      </w:hyperlink>
      <w:r>
        <w:rPr>
          <w:rFonts w:cs="DejaVu Math TeX Gyre" w:ascii="Arimo" w:hAnsi="Arimo"/>
          <w:b w:val="false"/>
          <w:bCs w:val="false"/>
          <w:color w:val="000000"/>
          <w:sz w:val="24"/>
          <w:szCs w:val="24"/>
          <w:shd w:fill="auto" w:val="clear"/>
        </w:rPr>
        <w:t>-</w:t>
      </w:r>
      <w:hyperlink r:id="rId22">
        <w:r>
          <w:rPr>
            <w:rStyle w:val="-"/>
            <w:rFonts w:cs="DejaVu Math TeX Gyre" w:ascii="Arimo" w:hAnsi="Arimo"/>
            <w:b w:val="false"/>
            <w:bCs w:val="false"/>
            <w:color w:val="000000"/>
            <w:sz w:val="24"/>
            <w:szCs w:val="24"/>
            <w:u w:val="none"/>
            <w:shd w:fill="auto" w:val="clear"/>
          </w:rPr>
          <w:t>55</w:t>
        </w:r>
      </w:hyperlink>
      <w:r>
        <w:rPr>
          <w:rStyle w:val="-"/>
          <w:rFonts w:cs="DejaVu Math TeX Gyre" w:ascii="Arimo" w:hAnsi="Arimo"/>
          <w:b w:val="false"/>
          <w:bCs w:val="false"/>
          <w:color w:val="000000"/>
          <w:sz w:val="24"/>
          <w:szCs w:val="24"/>
          <w:u w:val="none"/>
          <w:shd w:fill="auto" w:val="clear"/>
        </w:rPr>
        <w:t xml:space="preserve"> </w:t>
      </w:r>
      <w:r>
        <w:rPr>
          <w:rFonts w:cs="DejaVu Math TeX Gyre" w:ascii="Arimo" w:hAnsi="Arimo"/>
          <w:b w:val="false"/>
          <w:bCs w:val="false"/>
          <w:color w:val="000000"/>
          <w:sz w:val="24"/>
          <w:szCs w:val="24"/>
          <w:shd w:fill="auto" w:val="clear"/>
        </w:rPr>
        <w:t xml:space="preserve">и </w:t>
      </w:r>
      <w:hyperlink r:id="rId23">
        <w:r>
          <w:rPr>
            <w:rStyle w:val="-"/>
            <w:rFonts w:cs="DejaVu Math TeX Gyre" w:ascii="Arimo" w:hAnsi="Arimo"/>
            <w:b w:val="false"/>
            <w:bCs w:val="false"/>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cs="DejaVu Math TeX Gyre" w:ascii="Arimo" w:hAnsi="Arimo"/>
          <w:b w:val="false"/>
          <w:bCs w:val="false"/>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7"/>
        <w:widowControl/>
        <w:spacing w:lineRule="auto" w:line="240" w:before="0" w:after="0"/>
        <w:ind w:left="0" w:right="0" w:firstLine="737"/>
        <w:jc w:val="both"/>
        <w:rPr>
          <w:rFonts w:ascii="DejaVu Math TeX Gyre" w:hAnsi="DejaVu Math TeX Gyre" w:cs="DejaVu Math TeX Gyre"/>
          <w:color w:val="auto"/>
          <w:sz w:val="28"/>
          <w:szCs w:val="28"/>
        </w:rPr>
      </w:pPr>
      <w:bookmarkStart w:id="8" w:name="P067F"/>
      <w:bookmarkEnd w:id="8"/>
      <w:r>
        <w:rPr>
          <w:rFonts w:cs="DejaVu Math TeX Gyre" w:ascii="Arimo" w:hAnsi="Arimo"/>
          <w:b w:val="false"/>
          <w:bCs w:val="false"/>
          <w:sz w:val="24"/>
          <w:szCs w:val="24"/>
          <w:shd w:fill="auto" w:val="clear"/>
        </w:rPr>
        <w:t>9) уклонение контролируемого лица от проведения обязательного профилактического визита.</w:t>
      </w:r>
    </w:p>
    <w:p>
      <w:pPr>
        <w:pStyle w:val="Normal"/>
        <w:widowContro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widowContro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осмотр;</w:t>
      </w:r>
    </w:p>
    <w:p>
      <w:pPr>
        <w:pStyle w:val="Normal"/>
        <w:widowContro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опрос;</w:t>
      </w:r>
    </w:p>
    <w:p>
      <w:pPr>
        <w:pStyle w:val="Normal"/>
        <w:widowContro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получение письменных объяснений;</w:t>
      </w:r>
    </w:p>
    <w:p>
      <w:pPr>
        <w:pStyle w:val="Normal"/>
        <w:widowContro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истребование документов;</w:t>
      </w:r>
    </w:p>
    <w:p>
      <w:pPr>
        <w:pStyle w:val="Normal"/>
        <w:widowContro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экспертиза.</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следующие сведения:</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 дата, время и место принятия решения;</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2) кем принято решение;</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3) основание проведения контрольного мероприятия;</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 вид контроля;</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6) объект контроля, в отношении которого проводится контрольное мероприятие;</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9) вид контрольного мероприятия;</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10) перечень контрольных действий, совершаемых в рамках контрольного мероприятия;</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11) предмет контрольного мероприятия;</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12) проверочные листы, если их применение является обязательным;</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Normal"/>
        <w:widowControl/>
        <w:tabs>
          <w:tab w:val="clear" w:pos="708"/>
          <w:tab w:val="left" w:pos="1134" w:leader="none"/>
        </w:tabs>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auto"/>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Normal"/>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shd w:fill="auto" w:val="clear"/>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w:t>
      </w:r>
    </w:p>
    <w:p>
      <w:pPr>
        <w:pStyle w:val="Normal"/>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ind w:left="0" w:right="0" w:firstLine="540"/>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4.1.8. Документы, иные материалы, являющиеся доказательствами нарушения обязательных требований, приобщаются к акту.</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Заполненные при проведении контрольного мероприятия проверочные листы должны быть приобщены к акту. </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4.1.10.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HTMLPreformatted"/>
        <w:ind w:left="0" w:right="0" w:firstLine="540"/>
        <w:jc w:val="both"/>
        <w:rPr>
          <w:rFonts w:ascii="DejaVu Math TeX Gyre" w:hAnsi="DejaVu Math TeX Gyre" w:cs="DejaVu Math TeX Gyre"/>
          <w:sz w:val="28"/>
          <w:szCs w:val="28"/>
        </w:rPr>
      </w:pPr>
      <w:r>
        <w:rPr>
          <w:rFonts w:cs="DejaVu Math TeX Gyre" w:ascii="Arimo" w:hAnsi="Arimo"/>
          <w:b w:val="false"/>
          <w:bCs w:val="false"/>
          <w:sz w:val="24"/>
          <w:szCs w:val="24"/>
        </w:rPr>
        <w:t>4.1.11. В случае несогласия с фактами и выводами, изложенными в акте контрольного мероприятия, контролируемое лицо имеет право направить жалобу в порядке, предусмотренном разделом 5 настоящего Положения.</w:t>
      </w:r>
    </w:p>
    <w:p>
      <w:pPr>
        <w:pStyle w:val="ListParagraph"/>
        <w:widowControl/>
        <w:tabs>
          <w:tab w:val="clear" w:pos="708"/>
          <w:tab w:val="left" w:pos="1134" w:leader="none"/>
        </w:tabs>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tabs>
          <w:tab w:val="clear" w:pos="708"/>
          <w:tab w:val="left" w:pos="284" w:leader="none"/>
        </w:tabs>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4.2. Меры, принимаемые Контрольным органом по результатам контрольных мероприятий</w:t>
      </w:r>
    </w:p>
    <w:p>
      <w:pPr>
        <w:pStyle w:val="ConsPlusNormal"/>
        <w:tabs>
          <w:tab w:val="clear" w:pos="708"/>
          <w:tab w:val="left" w:pos="284" w:leader="none"/>
        </w:tabs>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tabs>
          <w:tab w:val="clear" w:pos="708"/>
          <w:tab w:val="left" w:pos="284" w:leader="none"/>
        </w:tabs>
        <w:ind w:left="0" w:right="0" w:hanging="0"/>
        <w:jc w:val="both"/>
        <w:rPr>
          <w:rFonts w:ascii="DejaVu Math TeX Gyre" w:hAnsi="DejaVu Math TeX Gyre" w:cs="DejaVu Math TeX Gyre"/>
          <w:sz w:val="28"/>
          <w:szCs w:val="28"/>
        </w:rPr>
      </w:pPr>
      <w:r>
        <w:rPr>
          <w:rFonts w:eastAsia="DejaVu Math TeX Gyre" w:cs="DejaVu Math TeX Gyre" w:ascii="Arimo" w:hAnsi="Arimo"/>
          <w:b w:val="false"/>
          <w:bCs w:val="false"/>
          <w:sz w:val="24"/>
          <w:szCs w:val="24"/>
        </w:rPr>
        <w:t xml:space="preserve"> </w:t>
      </w:r>
      <w:r>
        <w:rPr>
          <w:rFonts w:cs="DejaVu Math TeX Gyre" w:ascii="Arimo" w:hAnsi="Arimo"/>
          <w:b w:val="false"/>
          <w:bCs w:val="false"/>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cs="DejaVu Math TeX Gyre" w:ascii="Arimo" w:hAnsi="Arimo"/>
          <w:b w:val="false"/>
          <w:bCs w:val="false"/>
          <w:sz w:val="24"/>
          <w:szCs w:val="24"/>
          <w:lang w:eastAsia="en-US"/>
        </w:rPr>
        <w:t xml:space="preserve"> в пределах полномочий, предусмотренных законодательством Российской Федерации,</w:t>
      </w:r>
      <w:r>
        <w:rPr>
          <w:rFonts w:cs="DejaVu Math TeX Gyre" w:ascii="Arimo" w:hAnsi="Arimo"/>
          <w:b w:val="false"/>
          <w:bCs w:val="false"/>
          <w:sz w:val="24"/>
          <w:szCs w:val="24"/>
        </w:rPr>
        <w:t xml:space="preserve"> обязан:</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4.2.2.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4.2.3.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HTMLPreformatted"/>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 xml:space="preserve">4.2.4. В случае, если по итогам проведения контрольного мероприятия, предусмотренного пунктом 4.2.3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40"/>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 xml:space="preserve">Информация об исполнении решения контрольного органа в полном объеме вносится в единый реестр контрольных (надзорных) мероприятий.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40"/>
        <w:jc w:val="both"/>
        <w:rPr>
          <w:rFonts w:ascii="Arimo" w:hAnsi="Arimo" w:cs="DejaVu Math TeX Gyre"/>
          <w:b w:val="false"/>
          <w:bCs w:val="false"/>
          <w:color w:val="auto"/>
          <w:sz w:val="24"/>
          <w:szCs w:val="24"/>
        </w:rPr>
      </w:pPr>
      <w:r>
        <w:rPr>
          <w:rFonts w:cs="DejaVu Math TeX Gyre" w:ascii="Arimo" w:hAnsi="Arimo"/>
          <w:b w:val="false"/>
          <w:bCs w:val="false"/>
          <w:color w:val="auto"/>
          <w:sz w:val="24"/>
          <w:szCs w:val="24"/>
        </w:rPr>
      </w:r>
    </w:p>
    <w:p>
      <w:pPr>
        <w:pStyle w:val="ListParagraph"/>
        <w:widowControl/>
        <w:tabs>
          <w:tab w:val="clear" w:pos="708"/>
          <w:tab w:val="left" w:pos="1134" w:leader="none"/>
        </w:tabs>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4.3. Плановые контрольные мероприятия</w:t>
      </w:r>
    </w:p>
    <w:p>
      <w:pPr>
        <w:pStyle w:val="ListParagraph"/>
        <w:widowControl/>
        <w:tabs>
          <w:tab w:val="clear" w:pos="708"/>
          <w:tab w:val="left" w:pos="1134" w:leader="none"/>
        </w:tabs>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4.3.3. Контрольный орган проводит следующие виды плановых контрольных мероприятий:</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инспекционный визит;</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рейдовый осмотр;</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документарная проверка;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выездная проверка.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отношении объектов, относящихся к категории значительного риска, проводятся: инспекционный визит, рейдовый осмотр.</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отношении объектов, относящихся к категории среднего риска, проводятся: выездная проверка.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отношении объектов, относящихся к категории умеренного риска, проводятся: документарная проверка.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Плановые контрольные мероприятия в отношении объекта контроля, отнесенного к категории низкого риска, не проводятся.</w:t>
      </w:r>
    </w:p>
    <w:p>
      <w:pPr>
        <w:pStyle w:val="ListParagraph"/>
        <w:widowControl/>
        <w:tabs>
          <w:tab w:val="clear" w:pos="708"/>
          <w:tab w:val="left" w:pos="1134" w:leader="none"/>
        </w:tabs>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4.4. Внеплановые контрольные мероприятия</w:t>
      </w:r>
    </w:p>
    <w:p>
      <w:pPr>
        <w:pStyle w:val="ListParagraph"/>
        <w:widowControl/>
        <w:tabs>
          <w:tab w:val="clear" w:pos="708"/>
          <w:tab w:val="left" w:pos="1134" w:leader="none"/>
        </w:tabs>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pPr>
        <w:pStyle w:val="ConsPlusNorma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4.4.3.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pPr>
        <w:pStyle w:val="Norma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w:t>
      </w:r>
    </w:p>
    <w:p>
      <w:pPr>
        <w:pStyle w:val="Norma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Style27"/>
        <w:widowControl/>
        <w:spacing w:lineRule="auto" w:line="240" w:before="0" w:after="0"/>
        <w:ind w:left="0" w:right="0" w:firstLine="737"/>
        <w:jc w:val="both"/>
        <w:rPr>
          <w:rFonts w:ascii="DejaVu Math TeX Gyre" w:hAnsi="DejaVu Math TeX Gyre" w:cs="DejaVu Math TeX Gyre"/>
          <w:color w:val="000000"/>
          <w:sz w:val="28"/>
          <w:szCs w:val="28"/>
          <w:shd w:fill="auto" w:val="clear"/>
        </w:rPr>
      </w:pPr>
      <w:bookmarkStart w:id="9" w:name="P067B_Копия_1"/>
      <w:bookmarkEnd w:id="9"/>
      <w:r>
        <w:rPr>
          <w:rFonts w:cs="DejaVu Math TeX Gyre" w:ascii="Arimo" w:hAnsi="Arimo"/>
          <w:b w:val="false"/>
          <w:bCs w:val="false"/>
          <w:color w:val="000000"/>
          <w:sz w:val="24"/>
          <w:szCs w:val="24"/>
          <w:shd w:fill="auto" w:val="clear"/>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Style27"/>
        <w:widowControl/>
        <w:spacing w:lineRule="auto" w:line="240" w:before="0" w:after="0"/>
        <w:ind w:left="0" w:right="0" w:firstLine="737"/>
        <w:jc w:val="both"/>
        <w:rPr>
          <w:rFonts w:ascii="DejaVu Math TeX Gyre" w:hAnsi="DejaVu Math TeX Gyre" w:cs="DejaVu Math TeX Gyre"/>
          <w:color w:val="000000"/>
          <w:sz w:val="28"/>
          <w:szCs w:val="28"/>
          <w:shd w:fill="auto" w:val="clear"/>
        </w:rPr>
      </w:pPr>
      <w:bookmarkStart w:id="10" w:name="P067D_Копия_1"/>
      <w:bookmarkEnd w:id="10"/>
      <w:r>
        <w:rPr>
          <w:rFonts w:cs="DejaVu Math TeX Gyre" w:ascii="Arimo" w:hAnsi="Arimo"/>
          <w:b w:val="false"/>
          <w:bCs w:val="false"/>
          <w:color w:val="000000"/>
          <w:sz w:val="24"/>
          <w:szCs w:val="24"/>
          <w:shd w:fill="auto" w:val="clear"/>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
        <w:r>
          <w:rPr>
            <w:rStyle w:val="-"/>
            <w:rFonts w:cs="DejaVu Math TeX Gyre" w:ascii="Arimo" w:hAnsi="Arimo"/>
            <w:b w:val="false"/>
            <w:bCs w:val="false"/>
            <w:color w:val="000000"/>
            <w:sz w:val="24"/>
            <w:szCs w:val="24"/>
            <w:u w:val="none"/>
            <w:shd w:fill="auto" w:val="clear"/>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DejaVu Math TeX Gyre" w:ascii="Arimo" w:hAnsi="Arimo"/>
          <w:b w:val="false"/>
          <w:bCs w:val="false"/>
          <w:color w:val="000000"/>
          <w:sz w:val="24"/>
          <w:szCs w:val="24"/>
          <w:shd w:fill="auto" w:val="clear"/>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5">
        <w:r>
          <w:rPr>
            <w:rStyle w:val="-"/>
            <w:rFonts w:cs="DejaVu Math TeX Gyre" w:ascii="Arimo" w:hAnsi="Arimo"/>
            <w:b w:val="false"/>
            <w:bCs w:val="false"/>
            <w:color w:val="000000"/>
            <w:sz w:val="24"/>
            <w:szCs w:val="24"/>
            <w:u w:val="none"/>
            <w:shd w:fill="auto" w:val="clear"/>
          </w:rPr>
          <w:t>пунктах 6</w:t>
        </w:r>
      </w:hyperlink>
      <w:r>
        <w:rPr>
          <w:rFonts w:cs="DejaVu Math TeX Gyre" w:ascii="Arimo" w:hAnsi="Arimo"/>
          <w:b w:val="false"/>
          <w:bCs w:val="false"/>
          <w:color w:val="000000"/>
          <w:sz w:val="24"/>
          <w:szCs w:val="24"/>
          <w:shd w:fill="auto" w:val="clear"/>
        </w:rPr>
        <w:t>-</w:t>
      </w:r>
      <w:hyperlink r:id="rId26">
        <w:r>
          <w:rPr>
            <w:rStyle w:val="-"/>
            <w:rFonts w:cs="DejaVu Math TeX Gyre" w:ascii="Arimo" w:hAnsi="Arimo"/>
            <w:b w:val="false"/>
            <w:bCs w:val="false"/>
            <w:color w:val="000000"/>
            <w:sz w:val="24"/>
            <w:szCs w:val="24"/>
            <w:u w:val="none"/>
            <w:shd w:fill="auto" w:val="clear"/>
          </w:rPr>
          <w:t>9-1</w:t>
        </w:r>
      </w:hyperlink>
      <w:r>
        <w:rPr>
          <w:rFonts w:cs="DejaVu Math TeX Gyre" w:ascii="Arimo" w:hAnsi="Arimo"/>
          <w:b w:val="false"/>
          <w:bCs w:val="false"/>
          <w:color w:val="000000"/>
          <w:sz w:val="24"/>
          <w:szCs w:val="24"/>
          <w:shd w:fill="auto" w:val="clear"/>
        </w:rPr>
        <w:t xml:space="preserve">, </w:t>
      </w:r>
      <w:hyperlink r:id="rId27">
        <w:r>
          <w:rPr>
            <w:rStyle w:val="-"/>
            <w:rFonts w:cs="DejaVu Math TeX Gyre" w:ascii="Arimo" w:hAnsi="Arimo"/>
            <w:b w:val="false"/>
            <w:bCs w:val="false"/>
            <w:color w:val="000000"/>
            <w:sz w:val="24"/>
            <w:szCs w:val="24"/>
            <w:u w:val="none"/>
            <w:shd w:fill="auto" w:val="clear"/>
          </w:rPr>
          <w:t>11</w:t>
        </w:r>
      </w:hyperlink>
      <w:r>
        <w:rPr>
          <w:rFonts w:cs="DejaVu Math TeX Gyre" w:ascii="Arimo" w:hAnsi="Arimo"/>
          <w:b w:val="false"/>
          <w:bCs w:val="false"/>
          <w:color w:val="000000"/>
          <w:sz w:val="24"/>
          <w:szCs w:val="24"/>
          <w:shd w:fill="auto" w:val="clear"/>
        </w:rPr>
        <w:t xml:space="preserve">, </w:t>
      </w:r>
      <w:hyperlink r:id="rId28">
        <w:r>
          <w:rPr>
            <w:rStyle w:val="-"/>
            <w:rFonts w:cs="DejaVu Math TeX Gyre" w:ascii="Arimo" w:hAnsi="Arimo"/>
            <w:b w:val="false"/>
            <w:bCs w:val="false"/>
            <w:color w:val="000000"/>
            <w:sz w:val="24"/>
            <w:szCs w:val="24"/>
            <w:u w:val="none"/>
            <w:shd w:fill="auto" w:val="clear"/>
          </w:rPr>
          <w:t>12</w:t>
        </w:r>
      </w:hyperlink>
      <w:r>
        <w:rPr>
          <w:rFonts w:cs="DejaVu Math TeX Gyre" w:ascii="Arimo" w:hAnsi="Arimo"/>
          <w:b w:val="false"/>
          <w:bCs w:val="false"/>
          <w:color w:val="000000"/>
          <w:sz w:val="24"/>
          <w:szCs w:val="24"/>
          <w:shd w:fill="auto" w:val="clear"/>
        </w:rPr>
        <w:t xml:space="preserve">, </w:t>
      </w:r>
      <w:hyperlink r:id="rId29">
        <w:r>
          <w:rPr>
            <w:rStyle w:val="-"/>
            <w:rFonts w:cs="DejaVu Math TeX Gyre" w:ascii="Arimo" w:hAnsi="Arimo"/>
            <w:b w:val="false"/>
            <w:bCs w:val="false"/>
            <w:color w:val="000000"/>
            <w:sz w:val="24"/>
            <w:szCs w:val="24"/>
            <w:u w:val="none"/>
            <w:shd w:fill="auto" w:val="clear"/>
          </w:rPr>
          <w:t>14</w:t>
        </w:r>
      </w:hyperlink>
      <w:r>
        <w:rPr>
          <w:rFonts w:cs="DejaVu Math TeX Gyre" w:ascii="Arimo" w:hAnsi="Arimo"/>
          <w:b w:val="false"/>
          <w:bCs w:val="false"/>
          <w:color w:val="000000"/>
          <w:sz w:val="24"/>
          <w:szCs w:val="24"/>
          <w:shd w:fill="auto" w:val="clear"/>
        </w:rPr>
        <w:t>-</w:t>
      </w:r>
      <w:hyperlink r:id="rId30">
        <w:r>
          <w:rPr>
            <w:rStyle w:val="-"/>
            <w:rFonts w:cs="DejaVu Math TeX Gyre" w:ascii="Arimo" w:hAnsi="Arimo"/>
            <w:b w:val="false"/>
            <w:bCs w:val="false"/>
            <w:color w:val="000000"/>
            <w:sz w:val="24"/>
            <w:szCs w:val="24"/>
            <w:u w:val="none"/>
            <w:shd w:fill="auto" w:val="clear"/>
          </w:rPr>
          <w:t>17</w:t>
        </w:r>
      </w:hyperlink>
      <w:r>
        <w:rPr>
          <w:rFonts w:cs="DejaVu Math TeX Gyre" w:ascii="Arimo" w:hAnsi="Arimo"/>
          <w:b w:val="false"/>
          <w:bCs w:val="false"/>
          <w:color w:val="000000"/>
          <w:sz w:val="24"/>
          <w:szCs w:val="24"/>
          <w:shd w:fill="auto" w:val="clear"/>
        </w:rPr>
        <w:t xml:space="preserve">, </w:t>
      </w:r>
      <w:hyperlink r:id="rId31">
        <w:r>
          <w:rPr>
            <w:rStyle w:val="-"/>
            <w:rFonts w:cs="DejaVu Math TeX Gyre" w:ascii="Arimo" w:hAnsi="Arimo"/>
            <w:b w:val="false"/>
            <w:bCs w:val="false"/>
            <w:color w:val="000000"/>
            <w:sz w:val="24"/>
            <w:szCs w:val="24"/>
            <w:u w:val="none"/>
            <w:shd w:fill="auto" w:val="clear"/>
          </w:rPr>
          <w:t>19</w:t>
        </w:r>
      </w:hyperlink>
      <w:r>
        <w:rPr>
          <w:rFonts w:cs="DejaVu Math TeX Gyre" w:ascii="Arimo" w:hAnsi="Arimo"/>
          <w:b w:val="false"/>
          <w:bCs w:val="false"/>
          <w:color w:val="000000"/>
          <w:sz w:val="24"/>
          <w:szCs w:val="24"/>
          <w:shd w:fill="auto" w:val="clear"/>
        </w:rPr>
        <w:t>-</w:t>
      </w:r>
      <w:hyperlink r:id="rId32">
        <w:r>
          <w:rPr>
            <w:rStyle w:val="-"/>
            <w:rFonts w:cs="DejaVu Math TeX Gyre" w:ascii="Arimo" w:hAnsi="Arimo"/>
            <w:b w:val="false"/>
            <w:bCs w:val="false"/>
            <w:color w:val="000000"/>
            <w:sz w:val="24"/>
            <w:szCs w:val="24"/>
            <w:u w:val="none"/>
            <w:shd w:fill="auto" w:val="clear"/>
          </w:rPr>
          <w:t>21</w:t>
        </w:r>
      </w:hyperlink>
      <w:r>
        <w:rPr>
          <w:rFonts w:cs="DejaVu Math TeX Gyre" w:ascii="Arimo" w:hAnsi="Arimo"/>
          <w:b w:val="false"/>
          <w:bCs w:val="false"/>
          <w:color w:val="000000"/>
          <w:sz w:val="24"/>
          <w:szCs w:val="24"/>
          <w:shd w:fill="auto" w:val="clear"/>
        </w:rPr>
        <w:t xml:space="preserve">, </w:t>
      </w:r>
      <w:hyperlink r:id="rId33">
        <w:r>
          <w:rPr>
            <w:rStyle w:val="-"/>
            <w:rFonts w:cs="DejaVu Math TeX Gyre" w:ascii="Arimo" w:hAnsi="Arimo"/>
            <w:b w:val="false"/>
            <w:bCs w:val="false"/>
            <w:color w:val="000000"/>
            <w:sz w:val="24"/>
            <w:szCs w:val="24"/>
            <w:u w:val="none"/>
            <w:shd w:fill="auto" w:val="clear"/>
          </w:rPr>
          <w:t>24</w:t>
        </w:r>
      </w:hyperlink>
      <w:r>
        <w:rPr>
          <w:rFonts w:cs="DejaVu Math TeX Gyre" w:ascii="Arimo" w:hAnsi="Arimo"/>
          <w:b w:val="false"/>
          <w:bCs w:val="false"/>
          <w:color w:val="000000"/>
          <w:sz w:val="24"/>
          <w:szCs w:val="24"/>
          <w:shd w:fill="auto" w:val="clear"/>
        </w:rPr>
        <w:t>-</w:t>
      </w:r>
      <w:hyperlink r:id="rId34">
        <w:r>
          <w:rPr>
            <w:rStyle w:val="-"/>
            <w:rFonts w:cs="DejaVu Math TeX Gyre" w:ascii="Arimo" w:hAnsi="Arimo"/>
            <w:b w:val="false"/>
            <w:bCs w:val="false"/>
            <w:color w:val="000000"/>
            <w:sz w:val="24"/>
            <w:szCs w:val="24"/>
            <w:u w:val="none"/>
            <w:shd w:fill="auto" w:val="clear"/>
          </w:rPr>
          <w:t>31</w:t>
        </w:r>
      </w:hyperlink>
      <w:r>
        <w:rPr>
          <w:rFonts w:cs="DejaVu Math TeX Gyre" w:ascii="Arimo" w:hAnsi="Arimo"/>
          <w:b w:val="false"/>
          <w:bCs w:val="false"/>
          <w:color w:val="000000"/>
          <w:sz w:val="24"/>
          <w:szCs w:val="24"/>
          <w:shd w:fill="auto" w:val="clear"/>
        </w:rPr>
        <w:t xml:space="preserve">, </w:t>
      </w:r>
      <w:hyperlink r:id="rId35">
        <w:r>
          <w:rPr>
            <w:rStyle w:val="-"/>
            <w:rFonts w:cs="DejaVu Math TeX Gyre" w:ascii="Arimo" w:hAnsi="Arimo"/>
            <w:b w:val="false"/>
            <w:bCs w:val="false"/>
            <w:color w:val="000000"/>
            <w:sz w:val="24"/>
            <w:szCs w:val="24"/>
            <w:u w:val="none"/>
            <w:shd w:fill="auto" w:val="clear"/>
          </w:rPr>
          <w:t>34</w:t>
        </w:r>
      </w:hyperlink>
      <w:r>
        <w:rPr>
          <w:rFonts w:cs="DejaVu Math TeX Gyre" w:ascii="Arimo" w:hAnsi="Arimo"/>
          <w:b w:val="false"/>
          <w:bCs w:val="false"/>
          <w:color w:val="000000"/>
          <w:sz w:val="24"/>
          <w:szCs w:val="24"/>
          <w:shd w:fill="auto" w:val="clear"/>
        </w:rPr>
        <w:t>-</w:t>
      </w:r>
      <w:hyperlink r:id="rId36">
        <w:r>
          <w:rPr>
            <w:rStyle w:val="-"/>
            <w:rFonts w:cs="DejaVu Math TeX Gyre" w:ascii="Arimo" w:hAnsi="Arimo"/>
            <w:b w:val="false"/>
            <w:bCs w:val="false"/>
            <w:color w:val="000000"/>
            <w:sz w:val="24"/>
            <w:szCs w:val="24"/>
            <w:u w:val="none"/>
            <w:shd w:fill="auto" w:val="clear"/>
          </w:rPr>
          <w:t>36</w:t>
        </w:r>
      </w:hyperlink>
      <w:r>
        <w:rPr>
          <w:rFonts w:cs="DejaVu Math TeX Gyre" w:ascii="Arimo" w:hAnsi="Arimo"/>
          <w:b w:val="false"/>
          <w:bCs w:val="false"/>
          <w:color w:val="000000"/>
          <w:sz w:val="24"/>
          <w:szCs w:val="24"/>
          <w:shd w:fill="auto" w:val="clear"/>
        </w:rPr>
        <w:t xml:space="preserve">, </w:t>
      </w:r>
      <w:hyperlink r:id="rId37">
        <w:r>
          <w:rPr>
            <w:rStyle w:val="-"/>
            <w:rFonts w:cs="DejaVu Math TeX Gyre" w:ascii="Arimo" w:hAnsi="Arimo"/>
            <w:b w:val="false"/>
            <w:bCs w:val="false"/>
            <w:color w:val="000000"/>
            <w:sz w:val="24"/>
            <w:szCs w:val="24"/>
            <w:u w:val="none"/>
            <w:shd w:fill="auto" w:val="clear"/>
          </w:rPr>
          <w:t>39</w:t>
        </w:r>
      </w:hyperlink>
      <w:r>
        <w:rPr>
          <w:rFonts w:cs="DejaVu Math TeX Gyre" w:ascii="Arimo" w:hAnsi="Arimo"/>
          <w:b w:val="false"/>
          <w:bCs w:val="false"/>
          <w:color w:val="000000"/>
          <w:sz w:val="24"/>
          <w:szCs w:val="24"/>
          <w:shd w:fill="auto" w:val="clear"/>
        </w:rPr>
        <w:t xml:space="preserve">, </w:t>
      </w:r>
      <w:hyperlink r:id="rId38">
        <w:r>
          <w:rPr>
            <w:rStyle w:val="-"/>
            <w:rFonts w:cs="DejaVu Math TeX Gyre" w:ascii="Arimo" w:hAnsi="Arimo"/>
            <w:b w:val="false"/>
            <w:bCs w:val="false"/>
            <w:color w:val="000000"/>
            <w:sz w:val="24"/>
            <w:szCs w:val="24"/>
            <w:u w:val="none"/>
            <w:shd w:fill="auto" w:val="clear"/>
          </w:rPr>
          <w:t>40</w:t>
        </w:r>
      </w:hyperlink>
      <w:r>
        <w:rPr>
          <w:rFonts w:cs="DejaVu Math TeX Gyre" w:ascii="Arimo" w:hAnsi="Arimo"/>
          <w:b w:val="false"/>
          <w:bCs w:val="false"/>
          <w:color w:val="000000"/>
          <w:sz w:val="24"/>
          <w:szCs w:val="24"/>
          <w:shd w:fill="auto" w:val="clear"/>
        </w:rPr>
        <w:t xml:space="preserve">, </w:t>
      </w:r>
      <w:hyperlink r:id="rId39">
        <w:r>
          <w:rPr>
            <w:rStyle w:val="-"/>
            <w:rFonts w:cs="DejaVu Math TeX Gyre" w:ascii="Arimo" w:hAnsi="Arimo"/>
            <w:b w:val="false"/>
            <w:bCs w:val="false"/>
            <w:color w:val="000000"/>
            <w:sz w:val="24"/>
            <w:szCs w:val="24"/>
            <w:u w:val="none"/>
            <w:shd w:fill="auto" w:val="clear"/>
          </w:rPr>
          <w:t>42</w:t>
        </w:r>
      </w:hyperlink>
      <w:r>
        <w:rPr>
          <w:rFonts w:cs="DejaVu Math TeX Gyre" w:ascii="Arimo" w:hAnsi="Arimo"/>
          <w:b w:val="false"/>
          <w:bCs w:val="false"/>
          <w:color w:val="000000"/>
          <w:sz w:val="24"/>
          <w:szCs w:val="24"/>
          <w:shd w:fill="auto" w:val="clear"/>
        </w:rPr>
        <w:t>-</w:t>
      </w:r>
      <w:hyperlink r:id="rId40">
        <w:r>
          <w:rPr>
            <w:rStyle w:val="-"/>
            <w:rFonts w:cs="DejaVu Math TeX Gyre" w:ascii="Arimo" w:hAnsi="Arimo"/>
            <w:b w:val="false"/>
            <w:bCs w:val="false"/>
            <w:color w:val="000000"/>
            <w:sz w:val="24"/>
            <w:szCs w:val="24"/>
            <w:u w:val="none"/>
            <w:shd w:fill="auto" w:val="clear"/>
          </w:rPr>
          <w:t>55</w:t>
        </w:r>
      </w:hyperlink>
      <w:r>
        <w:rPr>
          <w:rStyle w:val="-"/>
          <w:rFonts w:cs="DejaVu Math TeX Gyre" w:ascii="Arimo" w:hAnsi="Arimo"/>
          <w:b w:val="false"/>
          <w:bCs w:val="false"/>
          <w:color w:val="000000"/>
          <w:sz w:val="24"/>
          <w:szCs w:val="24"/>
          <w:u w:val="single"/>
          <w:shd w:fill="auto" w:val="clear"/>
        </w:rPr>
        <w:t xml:space="preserve"> </w:t>
      </w:r>
      <w:r>
        <w:rPr>
          <w:rFonts w:cs="DejaVu Math TeX Gyre" w:ascii="Arimo" w:hAnsi="Arimo"/>
          <w:b w:val="false"/>
          <w:bCs w:val="false"/>
          <w:color w:val="000000"/>
          <w:sz w:val="24"/>
          <w:szCs w:val="24"/>
          <w:shd w:fill="auto" w:val="clear"/>
        </w:rPr>
        <w:t xml:space="preserve">и </w:t>
      </w:r>
      <w:hyperlink r:id="rId41">
        <w:r>
          <w:rPr>
            <w:rStyle w:val="-"/>
            <w:rFonts w:cs="DejaVu Math TeX Gyre" w:ascii="Arimo" w:hAnsi="Arimo"/>
            <w:b w:val="false"/>
            <w:bCs w:val="false"/>
            <w:color w:val="000000"/>
            <w:sz w:val="24"/>
            <w:szCs w:val="24"/>
            <w:u w:val="none"/>
            <w:shd w:fill="auto" w:val="clear"/>
          </w:rPr>
          <w:t>59 части 1 статьи 12 Федерального закона от 4 мая 2011 года № 99-ФЗ «О лицензировании отдельных видов деятельности»</w:t>
        </w:r>
      </w:hyperlink>
      <w:r>
        <w:rPr>
          <w:rFonts w:cs="DejaVu Math TeX Gyre" w:ascii="Arimo" w:hAnsi="Arimo"/>
          <w:b w:val="false"/>
          <w:bCs w:val="false"/>
          <w:color w:val="000000"/>
          <w:sz w:val="24"/>
          <w:szCs w:val="24"/>
          <w:shd w:fill="auto" w:val="clear"/>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Style27"/>
        <w:widowControl/>
        <w:spacing w:lineRule="auto" w:line="240" w:before="0" w:after="0"/>
        <w:ind w:left="0" w:right="0" w:firstLine="737"/>
        <w:jc w:val="both"/>
        <w:rPr>
          <w:rFonts w:ascii="DejaVu Math TeX Gyre" w:hAnsi="DejaVu Math TeX Gyre" w:cs="DejaVu Math TeX Gyre"/>
          <w:sz w:val="28"/>
          <w:szCs w:val="28"/>
        </w:rPr>
      </w:pPr>
      <w:bookmarkStart w:id="11" w:name="P067F_Копия_1"/>
      <w:bookmarkEnd w:id="11"/>
      <w:r>
        <w:rPr>
          <w:rFonts w:cs="DejaVu Math TeX Gyre" w:ascii="Arimo" w:hAnsi="Arimo"/>
          <w:b w:val="false"/>
          <w:bCs w:val="false"/>
          <w:color w:val="000000"/>
          <w:sz w:val="24"/>
          <w:szCs w:val="24"/>
          <w:shd w:fill="auto" w:val="clear"/>
        </w:rPr>
        <w:t>9) уклонение контролируемого лица от проведения обязательного профилактического</w:t>
      </w:r>
      <w:r>
        <w:rPr>
          <w:rFonts w:cs="DejaVu Math TeX Gyre" w:ascii="Arimo" w:hAnsi="Arimo"/>
          <w:b w:val="false"/>
          <w:bCs w:val="false"/>
          <w:color w:val="000000"/>
          <w:sz w:val="24"/>
          <w:szCs w:val="24"/>
          <w:u w:val="single"/>
          <w:shd w:fill="auto" w:val="clear"/>
        </w:rPr>
        <w:t xml:space="preserve"> </w:t>
      </w:r>
      <w:r>
        <w:rPr>
          <w:rFonts w:cs="DejaVu Math TeX Gyre" w:ascii="Arimo" w:hAnsi="Arimo"/>
          <w:b w:val="false"/>
          <w:bCs w:val="false"/>
          <w:sz w:val="24"/>
          <w:szCs w:val="24"/>
          <w:shd w:fill="auto" w:val="clear"/>
        </w:rPr>
        <w:t>визита.</w:t>
      </w:r>
    </w:p>
    <w:p>
      <w:pPr>
        <w:pStyle w:val="ConsPlusNormal"/>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4.4.4. В случае, если внеплановое контрольное мероприятие проводится только после согласования с органами прокуратуры, указанное мероприятие проводится после такого согл</w:t>
      </w:r>
      <w:r>
        <w:rPr>
          <w:rFonts w:cs="DejaVu Math TeX Gyre" w:ascii="Arimo" w:hAnsi="Arimo"/>
          <w:b w:val="false"/>
          <w:bCs w:val="false"/>
          <w:sz w:val="24"/>
          <w:szCs w:val="24"/>
          <w:shd w:fill="auto" w:val="clear"/>
        </w:rPr>
        <w:t>асования.</w:t>
      </w:r>
    </w:p>
    <w:p>
      <w:pPr>
        <w:pStyle w:val="ConsPlusNormal"/>
        <w:ind w:left="0" w:right="0" w:firstLine="709"/>
        <w:jc w:val="both"/>
        <w:rPr>
          <w:rFonts w:ascii="DejaVu Math TeX Gyre" w:hAnsi="DejaVu Math TeX Gyre" w:cs="DejaVu Math TeX Gyre"/>
          <w:bCs/>
          <w:color w:val="FF0000"/>
          <w:sz w:val="28"/>
          <w:szCs w:val="28"/>
          <w:u w:val="single"/>
        </w:rPr>
      </w:pPr>
      <w:r>
        <w:rPr>
          <w:rFonts w:cs="DejaVu Math TeX Gyre" w:ascii="Arimo" w:hAnsi="Arimo"/>
          <w:b w:val="false"/>
          <w:bCs w:val="false"/>
          <w:color w:val="000000"/>
          <w:sz w:val="24"/>
          <w:szCs w:val="24"/>
          <w:shd w:fill="auto" w:val="clear"/>
        </w:rPr>
        <w:t>В целях организации и проведения внеплановых контрольных мероприятий может учитываться категория риска объекта контроля.</w:t>
      </w:r>
    </w:p>
    <w:p>
      <w:pPr>
        <w:pStyle w:val="ConsPlusNormal"/>
        <w:ind w:left="0" w:right="0" w:firstLine="709"/>
        <w:jc w:val="both"/>
        <w:rPr>
          <w:rFonts w:ascii="Arimo" w:hAnsi="Arimo" w:cs="DejaVu Math TeX Gyre"/>
          <w:b w:val="false"/>
          <w:bCs w:val="false"/>
          <w:color w:val="FF0000"/>
          <w:sz w:val="24"/>
          <w:szCs w:val="24"/>
          <w:u w:val="single"/>
        </w:rPr>
      </w:pPr>
      <w:r>
        <w:rPr>
          <w:rFonts w:cs="DejaVu Math TeX Gyre" w:ascii="Arimo" w:hAnsi="Arimo"/>
          <w:b w:val="false"/>
          <w:bCs w:val="false"/>
          <w:color w:val="FF0000"/>
          <w:sz w:val="24"/>
          <w:szCs w:val="24"/>
          <w:u w:val="single"/>
        </w:rPr>
      </w:r>
    </w:p>
    <w:p>
      <w:pPr>
        <w:pStyle w:val="Normal"/>
        <w:widowControl/>
        <w:tabs>
          <w:tab w:val="clear" w:pos="708"/>
          <w:tab w:val="left" w:pos="1134" w:leader="none"/>
        </w:tabs>
        <w:jc w:val="center"/>
        <w:rPr>
          <w:rFonts w:ascii="DejaVu Math TeX Gyre" w:hAnsi="DejaVu Math TeX Gyre" w:cs="DejaVu Math TeX Gyre"/>
          <w:sz w:val="28"/>
          <w:szCs w:val="28"/>
        </w:rPr>
      </w:pPr>
      <w:r>
        <w:rPr>
          <w:rFonts w:cs="DejaVu Math TeX Gyre" w:ascii="Arimo" w:hAnsi="Arimo"/>
          <w:b w:val="false"/>
          <w:bCs w:val="false"/>
          <w:color w:val="auto"/>
          <w:sz w:val="24"/>
          <w:szCs w:val="24"/>
        </w:rPr>
        <w:t>4.5. Документарная проверка</w:t>
      </w:r>
    </w:p>
    <w:p>
      <w:pPr>
        <w:pStyle w:val="Normal"/>
        <w:widowControl/>
        <w:tabs>
          <w:tab w:val="clear" w:pos="708"/>
          <w:tab w:val="left" w:pos="1134" w:leader="none"/>
        </w:tabs>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Normal"/>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HTMLPreformatted"/>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 xml:space="preserve">4.5.3. Срок проведения документарной проверки не превышает десять рабочих дней.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указанный срок не включается период с момента: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период с момента направления контролируемому лицу информации Контрольного органа:</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о выявлении ошибок и (или) противоречий в представленных контролируемым лицом документах;</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4.5.4. Перечень допустимых контрольных действий, совершаемых в ходе документарной проверки: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истребование документов;</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получение письменных объяснений;</w:t>
      </w:r>
    </w:p>
    <w:p>
      <w:pPr>
        <w:pStyle w:val="ConsPlusNormal"/>
        <w:ind w:left="0" w:right="0" w:firstLine="709"/>
        <w:jc w:val="both"/>
        <w:rPr>
          <w:rFonts w:ascii="DejaVu Math TeX Gyre" w:hAnsi="DejaVu Math TeX Gyre" w:cs="DejaVu Math TeX Gyre"/>
          <w:sz w:val="28"/>
          <w:szCs w:val="28"/>
        </w:rPr>
      </w:pPr>
      <w:bookmarkStart w:id="12" w:name="_Hlk73716001"/>
      <w:r>
        <w:rPr>
          <w:rFonts w:cs="DejaVu Math TeX Gyre" w:ascii="Arimo" w:hAnsi="Arimo"/>
          <w:b w:val="false"/>
          <w:bCs w:val="false"/>
          <w:sz w:val="24"/>
          <w:szCs w:val="24"/>
        </w:rPr>
        <w:t>3) экспертиза.</w:t>
      </w:r>
      <w:bookmarkEnd w:id="12"/>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4.5.5. В ходе проведения контрольного мероприятия инспектор имеет право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cs="DejaVu Math TeX Gyre" w:ascii="Arimo" w:hAnsi="Arimo"/>
          <w:b w:val="false"/>
          <w:bCs w:val="false"/>
          <w:color w:val="FF0000"/>
          <w:sz w:val="24"/>
          <w:szCs w:val="24"/>
        </w:rPr>
        <w:t xml:space="preserve">, </w:t>
      </w:r>
      <w:r>
        <w:rPr>
          <w:rFonts w:cs="DejaVu Math TeX Gyre" w:ascii="Arimo" w:hAnsi="Arimo"/>
          <w:b w:val="false"/>
          <w:bCs w:val="false"/>
          <w:sz w:val="24"/>
          <w:szCs w:val="24"/>
        </w:rPr>
        <w:t>в том числе материалов фотосъемки, аудио- и видеозаписи, информационных баз, банков данных, а также носителей информации.</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представляет истребуемые документы.</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4.5.6. Письменные объяснения могут быть запрошены инспектором от контролируемого лица или его представителя, свидетелей.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Письменные объяснения оформляются путем составления письменного документа в свободной форме.</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Инспектор имеет право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4.5.7. Экспертиза осуществляется экспертом или экспертной организацией по поручению Контрольного органа.</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Экспертиза осуществляется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Preformatted"/>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Результаты экспертизы оформляются экспертным заключением.</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4.5.8. Оформление акта производится по месту нахождения Контрольного органа в день окончания проведения документарной проверки.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ListParagraph"/>
        <w:widowControl/>
        <w:tabs>
          <w:tab w:val="clear" w:pos="708"/>
          <w:tab w:val="left" w:pos="1134" w:leader="none"/>
        </w:tabs>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 xml:space="preserve">4.5.10. </w:t>
      </w:r>
      <w:r>
        <w:rPr>
          <w:rFonts w:cs="DejaVu Math TeX Gyre" w:ascii="Arimo" w:hAnsi="Arimo"/>
          <w:b w:val="false"/>
          <w:bCs w:val="false"/>
          <w:color w:val="000000"/>
          <w:sz w:val="24"/>
          <w:szCs w:val="24"/>
          <w:shd w:fill="auto" w:val="clear"/>
        </w:rPr>
        <w:t>Внеплановая документарная проверка может проводиться только по согласованию с органами прокуратуры.</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4.5.11.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left="709" w:right="0" w:hanging="0"/>
        <w:jc w:val="both"/>
        <w:rPr>
          <w:rFonts w:ascii="Arimo" w:hAnsi="Arimo" w:cs="DejaVu Math TeX Gyre"/>
          <w:b w:val="false"/>
          <w:bCs w:val="false"/>
          <w:sz w:val="24"/>
          <w:szCs w:val="24"/>
          <w:shd w:fill="auto" w:val="clear"/>
        </w:rPr>
      </w:pPr>
      <w:r>
        <w:rPr>
          <w:rFonts w:cs="DejaVu Math TeX Gyre" w:ascii="Arimo" w:hAnsi="Arimo"/>
          <w:b w:val="false"/>
          <w:bCs w:val="false"/>
          <w:sz w:val="24"/>
          <w:szCs w:val="24"/>
          <w:shd w:fill="auto" w:val="clear"/>
        </w:rPr>
      </w:r>
    </w:p>
    <w:p>
      <w:pPr>
        <w:pStyle w:val="ListParagraph"/>
        <w:widowControl/>
        <w:tabs>
          <w:tab w:val="clear" w:pos="708"/>
          <w:tab w:val="left" w:pos="1134" w:leader="none"/>
        </w:tabs>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shd w:fill="auto" w:val="clear"/>
        </w:rPr>
        <w:t>4.6. Выездная проверка</w:t>
      </w:r>
    </w:p>
    <w:p>
      <w:pPr>
        <w:pStyle w:val="ListParagraph"/>
        <w:widowControl/>
        <w:tabs>
          <w:tab w:val="clear" w:pos="708"/>
          <w:tab w:val="left" w:pos="1134" w:leader="none"/>
        </w:tabs>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shd w:fill="auto" w:val="clear"/>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4.6.2. Выездная проверка проводится в случае, если не представляется возмо</w:t>
      </w:r>
      <w:r>
        <w:rPr>
          <w:rFonts w:cs="DejaVu Math TeX Gyre" w:ascii="Arimo" w:hAnsi="Arimo"/>
          <w:b w:val="false"/>
          <w:bCs w:val="false"/>
          <w:sz w:val="24"/>
          <w:szCs w:val="24"/>
        </w:rPr>
        <w:t>жным:</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4.6.3. Внеплановая выездная проверка проводится только по согласованию с органами прокуратуры по следующим основаниям: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7) при получении сведений о непосредственной угрозе причинения вреда (ущерба) охраняемым законом ценностям.</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4.6.6. Срок проведения выездной проверки составляет не более десяти рабочих дней.</w:t>
      </w:r>
    </w:p>
    <w:p>
      <w:pPr>
        <w:pStyle w:val="ListParagraph"/>
        <w:widowControl/>
        <w:tabs>
          <w:tab w:val="clear" w:pos="708"/>
          <w:tab w:val="left" w:pos="1134" w:leader="none"/>
        </w:tabs>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В отношении одного субъекта малого предпринимательства общий срок взаимодействия в ходе проведения выездной проверки не превышает пятьдесят часов для малого предприятия и пятнадцать часов для микропредприятия.</w:t>
      </w:r>
    </w:p>
    <w:p>
      <w:pPr>
        <w:pStyle w:val="Normal"/>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4.6.7. Перечень допустимых контрольных действий в ходе выездной проверки: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осмотр;</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опрос;</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истребование документов;</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получение письменных объяснений;</w:t>
      </w:r>
    </w:p>
    <w:p>
      <w:pPr>
        <w:pStyle w:val="ConsPlusNormal"/>
        <w:ind w:left="0" w:right="0" w:firstLine="709"/>
        <w:jc w:val="both"/>
        <w:rPr>
          <w:rFonts w:ascii="DejaVu Math TeX Gyre" w:hAnsi="DejaVu Math TeX Gyre" w:cs="DejaVu Math TeX Gyre"/>
          <w:sz w:val="28"/>
          <w:szCs w:val="28"/>
        </w:rPr>
      </w:pPr>
      <w:bookmarkStart w:id="13" w:name="_Hlk73715973"/>
      <w:r>
        <w:rPr>
          <w:rFonts w:cs="DejaVu Math TeX Gyre" w:ascii="Arimo" w:hAnsi="Arimo"/>
          <w:b w:val="false"/>
          <w:bCs w:val="false"/>
          <w:sz w:val="24"/>
          <w:szCs w:val="24"/>
        </w:rPr>
        <w:t>5) экспертиза.</w:t>
      </w:r>
      <w:bookmarkEnd w:id="13"/>
    </w:p>
    <w:p>
      <w:pPr>
        <w:pStyle w:val="ConsPlusNormal"/>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 xml:space="preserve">4.6.8. </w:t>
      </w:r>
      <w:r>
        <w:rPr>
          <w:rFonts w:cs="DejaVu Math TeX Gyre" w:ascii="Arimo" w:hAnsi="Arimo"/>
          <w:b w:val="false"/>
          <w:bCs w:val="false"/>
          <w:color w:val="000000"/>
          <w:sz w:val="24"/>
          <w:szCs w:val="24"/>
          <w:shd w:fill="auto" w:val="clear"/>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По результатам осмотра составляется протокол осмотра.</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Preformatted"/>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w:t>
      </w:r>
      <w:r>
        <w:rPr>
          <w:rFonts w:cs="DejaVu Math TeX Gyre" w:ascii="Arimo" w:hAnsi="Arimo"/>
          <w:b w:val="false"/>
          <w:bCs w:val="false"/>
          <w:sz w:val="24"/>
          <w:szCs w:val="24"/>
          <w:shd w:fill="auto" w:val="clear"/>
        </w:rPr>
        <w:t>оприятия.</w:t>
      </w:r>
    </w:p>
    <w:p>
      <w:pPr>
        <w:pStyle w:val="HTMLPreformatted"/>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Опрос  осуществляется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4.6.10. При осуществлении осмо</w:t>
      </w:r>
      <w:r>
        <w:rPr>
          <w:rFonts w:cs="DejaVu Math TeX Gyre" w:ascii="Arimo" w:hAnsi="Arimo"/>
          <w:b w:val="false"/>
          <w:bCs w:val="false"/>
          <w:sz w:val="24"/>
          <w:szCs w:val="24"/>
        </w:rPr>
        <w:t xml:space="preserve">тра, опроса в случае выявления нарушений обязательных требований инспектор имеет право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4.6.12. По окончании проведения выездной проверки инспектор составляет акт выездной проверки.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Информация о проведении фотосъемки, аудио- и видеозаписи отражается в акте проверки.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2" w:tgtFrame="_blank">
        <w:r>
          <w:rPr>
            <w:rStyle w:val="-"/>
            <w:rFonts w:cs="DejaVu Math TeX Gyre" w:ascii="Arimo" w:hAnsi="Arimo"/>
            <w:b w:val="false"/>
            <w:bCs w:val="false"/>
            <w:sz w:val="24"/>
            <w:szCs w:val="24"/>
          </w:rPr>
          <w:t>частями 4</w:t>
        </w:r>
      </w:hyperlink>
      <w:r>
        <w:rPr>
          <w:rFonts w:cs="DejaVu Math TeX Gyre" w:ascii="Arimo" w:hAnsi="Arimo"/>
          <w:b w:val="false"/>
          <w:bCs w:val="false"/>
          <w:sz w:val="24"/>
          <w:szCs w:val="24"/>
        </w:rPr>
        <w:t xml:space="preserve"> и </w:t>
      </w:r>
      <w:hyperlink r:id="rId43" w:tgtFrame="_blank">
        <w:r>
          <w:rPr>
            <w:rStyle w:val="-"/>
            <w:rFonts w:cs="DejaVu Math TeX Gyre" w:ascii="Arimo" w:hAnsi="Arimo"/>
            <w:b w:val="false"/>
            <w:bCs w:val="false"/>
            <w:sz w:val="24"/>
            <w:szCs w:val="24"/>
          </w:rPr>
          <w:t>5 статьи 21</w:t>
        </w:r>
      </w:hyperlink>
      <w:r>
        <w:rPr>
          <w:rFonts w:cs="DejaVu Math TeX Gyre" w:ascii="Arimo" w:hAnsi="Arimo"/>
          <w:b w:val="false"/>
          <w:bCs w:val="false"/>
          <w:sz w:val="24"/>
          <w:szCs w:val="24"/>
        </w:rPr>
        <w:t xml:space="preserve"> Федеральным законом № 248-ФЗ.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В этом случае инспектор имеет право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4.6.14. Индивидуальный предприниматель, гражданин, являющиеся контролируемыми лицами, имеет право представить в Контрольный орган информацию о невозможности присутствия при проведении контрольных мероприятий в случаях:</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временной нетрудоспособности;</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необходимости явки по вызову (извещениям, повесткам) судов, правоохранительных органов, военных комиссариатов;</w:t>
      </w:r>
    </w:p>
    <w:p>
      <w:pPr>
        <w:pStyle w:val="Normal"/>
        <w:widowContro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нахождения в служебной командировке.</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4.7. Инспекционный визит, рейдовый осмотр</w:t>
      </w:r>
    </w:p>
    <w:p>
      <w:pPr>
        <w:pStyle w:val="ConsPlusNormal"/>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превышает один рабочий день.</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4.7.2. Перечень допустимых контрольных действий в ходе инспекционного визита:</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а) осмотр;</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б) опрос;</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получение письменных объяснений;</w:t>
      </w:r>
    </w:p>
    <w:p>
      <w:pPr>
        <w:pStyle w:val="ConsPlusNormal"/>
        <w:ind w:left="0" w:right="0" w:firstLine="709"/>
        <w:jc w:val="both"/>
        <w:rPr>
          <w:rFonts w:ascii="DejaVu Math TeX Gyre" w:hAnsi="DejaVu Math TeX Gyre" w:cs="DejaVu Math TeX Gyre"/>
          <w:sz w:val="28"/>
          <w:szCs w:val="28"/>
          <w:shd w:fill="auto" w:val="clear"/>
        </w:rPr>
      </w:pPr>
      <w:bookmarkStart w:id="14" w:name="_Hlk73715943"/>
      <w:r>
        <w:rPr>
          <w:rFonts w:cs="DejaVu Math TeX Gyre" w:ascii="Arimo" w:hAnsi="Arimo"/>
          <w:b w:val="false"/>
          <w:bCs w:val="false"/>
          <w:sz w:val="24"/>
          <w:szCs w:val="24"/>
        </w:rPr>
        <w:t>г) истребование документов</w:t>
      </w:r>
      <w:bookmarkEnd w:id="14"/>
      <w:r>
        <w:rPr>
          <w:rFonts w:cs="DejaVu Math TeX Gyre" w:ascii="Arimo" w:hAnsi="Arimo"/>
          <w:b w:val="false"/>
          <w:bCs w:val="false"/>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shd w:fill="auto" w:val="clear"/>
        </w:rPr>
        <w:t xml:space="preserve">Инспекционный визит допускается проводить с использованием средств дистанционного взаимодействия, </w:t>
      </w:r>
      <w:r>
        <w:rPr>
          <w:rFonts w:cs="DejaVu Math TeX Gyre" w:ascii="Arimo" w:hAnsi="Arimo"/>
          <w:b w:val="false"/>
          <w:bCs w:val="false"/>
          <w:color w:val="000000"/>
          <w:sz w:val="24"/>
          <w:szCs w:val="24"/>
          <w:shd w:fill="auto" w:val="clear"/>
        </w:rPr>
        <w:t>в том числе посредством видео-конференц-связи, а также с использованием мобильного приложения «Инспектор».</w:t>
      </w:r>
      <w:r>
        <w:rPr>
          <w:rFonts w:cs="DejaVu Math TeX Gyre" w:ascii="Arimo" w:hAnsi="Arimo"/>
          <w:b w:val="false"/>
          <w:bCs w:val="false"/>
          <w:sz w:val="24"/>
          <w:szCs w:val="24"/>
          <w:shd w:fill="auto" w:val="clear"/>
        </w:rPr>
        <w:t xml:space="preserve"> </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 xml:space="preserve">4.7.3. </w:t>
      </w:r>
      <w:r>
        <w:rPr>
          <w:rFonts w:cs="DejaVu Math TeX Gyre" w:ascii="Arimo" w:hAnsi="Arimo"/>
          <w:b w:val="false"/>
          <w:bCs w:val="false"/>
          <w:color w:val="000000"/>
          <w:sz w:val="24"/>
          <w:szCs w:val="24"/>
          <w:shd w:fill="auto" w:val="clear"/>
        </w:rPr>
        <w:t>Внеплановый инспекционный визит  проводиться только по согласованию с органами прокуратуры.</w:t>
      </w:r>
    </w:p>
    <w:p>
      <w:pPr>
        <w:pStyle w:val="HTMLPreformatted"/>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Срок проведения рейдового осмотра не превышает десять рабочих дней. Срок взаимодействия с одним контролируемым лицом в период проведения рейдового осмотра не превышает один рабочий день.</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Срок взаимодействия с одним контролируемым лицом в период проведения рейдового осмотра не превышает один рабочий день.</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4.7.5. Перечень допустимых контрольных действий в ходе рейдового осмотра:</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а) осмотр;</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б) опрос;</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получение письменных объяснений;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г) истребование документов;</w:t>
      </w:r>
    </w:p>
    <w:p>
      <w:pPr>
        <w:pStyle w:val="ConsPlusNormal"/>
        <w:ind w:left="0" w:right="0" w:firstLine="709"/>
        <w:jc w:val="both"/>
        <w:rPr>
          <w:rFonts w:ascii="DejaVu Math TeX Gyre" w:hAnsi="DejaVu Math TeX Gyre" w:cs="DejaVu Math TeX Gyre"/>
          <w:sz w:val="28"/>
          <w:szCs w:val="28"/>
        </w:rPr>
      </w:pPr>
      <w:bookmarkStart w:id="15" w:name="_Hlk73715920"/>
      <w:r>
        <w:rPr>
          <w:rFonts w:cs="DejaVu Math TeX Gyre" w:ascii="Arimo" w:hAnsi="Arimo"/>
          <w:b w:val="false"/>
          <w:bCs w:val="false"/>
          <w:sz w:val="24"/>
          <w:szCs w:val="24"/>
        </w:rPr>
        <w:t>д) экспертиза</w:t>
      </w:r>
      <w:bookmarkEnd w:id="15"/>
      <w:r>
        <w:rPr>
          <w:rFonts w:cs="DejaVu Math TeX Gyre" w:ascii="Arimo" w:hAnsi="Arimo"/>
          <w:b w:val="false"/>
          <w:bCs w:val="false"/>
          <w:sz w:val="24"/>
          <w:szCs w:val="24"/>
        </w:rPr>
        <w:t>.</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4.7.8. Рейдовый осмотр проводится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4.8. Наблюдение за соблюдением обязательных требований (мониторинг безопасности)</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 о проведении внепланового контрольного мероприятия: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решение об объявлении предостережения;</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3) </w:t>
      </w:r>
      <w:r>
        <w:rPr>
          <w:rFonts w:cs="DejaVu Math TeX Gyre" w:ascii="Arimo" w:hAnsi="Arimo"/>
          <w:b w:val="false"/>
          <w:bCs w:val="false"/>
          <w:color w:val="000000"/>
          <w:sz w:val="24"/>
          <w:szCs w:val="24"/>
        </w:rPr>
        <w:t>решение о выдаче предписания об устранении выявленных нарушений в порядке, предусмотренном </w:t>
      </w:r>
      <w:hyperlink r:id="rId44">
        <w:r>
          <w:rPr>
            <w:rStyle w:val="-"/>
            <w:rFonts w:cs="DejaVu Math TeX Gyre" w:ascii="Arimo" w:hAnsi="Arimo"/>
            <w:b w:val="false"/>
            <w:bCs w:val="false"/>
            <w:color w:val="000000"/>
            <w:sz w:val="24"/>
            <w:szCs w:val="24"/>
            <w:u w:val="none"/>
          </w:rPr>
          <w:t xml:space="preserve">пунктом 1 части 2 статьи 90 </w:t>
        </w:r>
      </w:hyperlink>
      <w:r>
        <w:rPr>
          <w:rFonts w:cs="DejaVu Math TeX Gyre" w:ascii="Arimo" w:hAnsi="Arimo"/>
          <w:b w:val="false"/>
          <w:bCs w:val="false"/>
          <w:sz w:val="24"/>
          <w:szCs w:val="24"/>
        </w:rPr>
        <w:t>Федерального закона № 248-ФЗ;</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w:t>
      </w:r>
    </w:p>
    <w:p>
      <w:pPr>
        <w:pStyle w:val="ConsPlusNormal"/>
        <w:ind w:left="0"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firstLine="709"/>
        <w:jc w:val="center"/>
        <w:rPr>
          <w:rFonts w:ascii="DejaVu Math TeX Gyre" w:hAnsi="DejaVu Math TeX Gyre" w:cs="DejaVu Math TeX Gyre"/>
          <w:sz w:val="28"/>
          <w:szCs w:val="28"/>
        </w:rPr>
      </w:pPr>
      <w:r>
        <w:rPr>
          <w:rFonts w:cs="DejaVu Math TeX Gyre" w:ascii="Arimo" w:hAnsi="Arimo"/>
          <w:b w:val="false"/>
          <w:bCs w:val="false"/>
          <w:sz w:val="24"/>
          <w:szCs w:val="24"/>
        </w:rPr>
        <w:t>4.9. Выездное обследование</w:t>
      </w:r>
    </w:p>
    <w:p>
      <w:pPr>
        <w:pStyle w:val="ConsPlusNormal"/>
        <w:ind w:left="0" w:right="0" w:firstLine="709"/>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4.9.1. Выездное обследование проводится в целях оценки соблюдения контролируемыми лицами обязательных требований.</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4.9.2.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В ходе выездного обследования на общедоступных (открытых для посещения неограниченным кругом лиц) производственных объектах осуществляется осмотр</w:t>
      </w:r>
      <w:r>
        <w:rPr>
          <w:rFonts w:cs="DejaVu Math TeX Gyre" w:ascii="Arimo" w:hAnsi="Arimo"/>
          <w:b w:val="false"/>
          <w:bCs w:val="false"/>
          <w:color w:val="000000"/>
          <w:sz w:val="24"/>
          <w:szCs w:val="24"/>
        </w:rPr>
        <w:t>.</w:t>
      </w:r>
    </w:p>
    <w:p>
      <w:pPr>
        <w:pStyle w:val="ListParagraph"/>
        <w:widowControl/>
        <w:tabs>
          <w:tab w:val="clear" w:pos="708"/>
          <w:tab w:val="left" w:pos="1134" w:leader="none"/>
        </w:tabs>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rPr>
        <w:t xml:space="preserve">4.9.3. Выездное обследование проводится без информирования контролируемого лица. </w:t>
      </w:r>
    </w:p>
    <w:p>
      <w:pPr>
        <w:pStyle w:val="HTMLPreformatted"/>
        <w:ind w:left="0" w:right="0" w:firstLine="737"/>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4.9.4 В случае выявления нарушения обязательных требований, контролируемому лицу, после оформления акта выездного обследования, выдается предписание об устранении выявленных нарушений обязательных требований с указанием разумных сроков их устранения.</w:t>
      </w:r>
    </w:p>
    <w:p>
      <w:pPr>
        <w:pStyle w:val="HTMLPreformatted"/>
        <w:ind w:left="0" w:right="0" w:firstLine="737"/>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hanging="0"/>
        <w:jc w:val="center"/>
        <w:rPr>
          <w:rFonts w:ascii="DejaVu Math TeX Gyre" w:hAnsi="DejaVu Math TeX Gyre" w:cs="DejaVu Math TeX Gyre"/>
          <w:sz w:val="28"/>
          <w:szCs w:val="28"/>
        </w:rPr>
      </w:pPr>
      <w:r>
        <w:rPr>
          <w:rFonts w:cs="DejaVu Math TeX Gyre" w:ascii="Arimo" w:hAnsi="Arimo"/>
          <w:b w:val="false"/>
          <w:bCs w:val="false"/>
          <w:sz w:val="24"/>
          <w:szCs w:val="24"/>
        </w:rPr>
        <w:t>5. Досудебное обжалование</w:t>
      </w:r>
    </w:p>
    <w:p>
      <w:pPr>
        <w:pStyle w:val="ConsPlusNormal"/>
        <w:ind w:left="0" w:right="0" w:hanging="0"/>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руководителя0 Контрольного органа и инспекторов (далее также – должностные лица):</w:t>
      </w:r>
    </w:p>
    <w:p>
      <w:pPr>
        <w:pStyle w:val="Style27"/>
        <w:widowControl/>
        <w:tabs>
          <w:tab w:val="clear" w:pos="708"/>
          <w:tab w:val="left" w:pos="1134" w:leader="none"/>
        </w:tabs>
        <w:spacing w:lineRule="auto" w:line="240" w:before="0" w:after="0"/>
        <w:ind w:left="0" w:right="0" w:firstLine="709"/>
        <w:jc w:val="both"/>
        <w:rPr>
          <w:rFonts w:ascii="DejaVu Math TeX Gyre" w:hAnsi="DejaVu Math TeX Gyre" w:cs="DejaVu Math TeX Gyre"/>
          <w:sz w:val="28"/>
          <w:szCs w:val="28"/>
          <w:shd w:fill="auto" w:val="clear"/>
        </w:rPr>
      </w:pPr>
      <w:bookmarkStart w:id="16" w:name="P043B"/>
      <w:bookmarkEnd w:id="16"/>
      <w:r>
        <w:rPr>
          <w:rFonts w:cs="DejaVu Math TeX Gyre" w:ascii="Arimo" w:hAnsi="Arimo"/>
          <w:b w:val="false"/>
          <w:bCs w:val="false"/>
          <w:sz w:val="24"/>
          <w:szCs w:val="24"/>
          <w:shd w:fill="auto" w:val="clear"/>
        </w:rPr>
        <w:t>1) решений о проведении контрольных (надзорных) мероприятий и обязательных профилактических визитов;</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17" w:name="P043D"/>
      <w:bookmarkEnd w:id="17"/>
      <w:r>
        <w:rPr>
          <w:rFonts w:cs="DejaVu Math TeX Gyre" w:ascii="Arimo" w:hAnsi="Arimo"/>
          <w:b w:val="false"/>
          <w:bCs w:val="false"/>
          <w:sz w:val="24"/>
          <w:szCs w:val="24"/>
          <w:shd w:fill="auto" w:val="clear"/>
        </w:rPr>
        <w:t>2) актов контрольных (надзорных) мероприятий и обязательных профилактических визитов, предписаний об устранении выявленных нарушений;</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18" w:name="P043F"/>
      <w:bookmarkEnd w:id="18"/>
      <w:r>
        <w:rPr>
          <w:rFonts w:cs="DejaVu Math TeX Gyre" w:ascii="Arimo" w:hAnsi="Arimo"/>
          <w:b w:val="false"/>
          <w:bCs w:val="false"/>
          <w:sz w:val="24"/>
          <w:szCs w:val="24"/>
          <w:shd w:fill="auto" w:val="clear"/>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19" w:name="P0441"/>
      <w:bookmarkEnd w:id="19"/>
      <w:r>
        <w:rPr>
          <w:rFonts w:cs="DejaVu Math TeX Gyre" w:ascii="Arimo" w:hAnsi="Arimo"/>
          <w:b w:val="false"/>
          <w:bCs w:val="false"/>
          <w:sz w:val="24"/>
          <w:szCs w:val="24"/>
          <w:shd w:fill="auto" w:val="clear"/>
        </w:rPr>
        <w:t xml:space="preserve">4) решений об отнесении объектов контроля к соответствующей категории риска; </w:t>
      </w:r>
    </w:p>
    <w:p>
      <w:pPr>
        <w:pStyle w:val="Style27"/>
        <w:widowControl/>
        <w:spacing w:lineRule="auto" w:line="240" w:before="0" w:after="0"/>
        <w:ind w:left="0" w:right="0" w:firstLine="737"/>
        <w:jc w:val="both"/>
        <w:rPr>
          <w:rFonts w:ascii="DejaVu Math TeX Gyre" w:hAnsi="DejaVu Math TeX Gyre" w:cs="DejaVu Math TeX Gyre"/>
          <w:sz w:val="28"/>
          <w:szCs w:val="28"/>
          <w:shd w:fill="auto" w:val="clear"/>
        </w:rPr>
      </w:pPr>
      <w:bookmarkStart w:id="20" w:name="P0443"/>
      <w:bookmarkEnd w:id="20"/>
      <w:r>
        <w:rPr>
          <w:rFonts w:cs="DejaVu Math TeX Gyre" w:ascii="Arimo" w:hAnsi="Arimo"/>
          <w:b w:val="false"/>
          <w:bCs w:val="false"/>
          <w:sz w:val="24"/>
          <w:szCs w:val="24"/>
          <w:shd w:fill="auto" w:val="clear"/>
        </w:rPr>
        <w:t>5) решений об отказе в проведении обязательных профилактических визитов по заявлениям контролируемых лиц;</w:t>
      </w:r>
    </w:p>
    <w:p>
      <w:pPr>
        <w:pStyle w:val="Style27"/>
        <w:widowControl/>
        <w:spacing w:lineRule="auto" w:line="240" w:before="0" w:after="0"/>
        <w:ind w:left="0" w:right="0" w:firstLine="680"/>
        <w:jc w:val="both"/>
        <w:rPr>
          <w:rFonts w:ascii="DejaVu Math TeX Gyre" w:hAnsi="DejaVu Math TeX Gyre" w:cs="DejaVu Math TeX Gyre"/>
          <w:sz w:val="28"/>
          <w:szCs w:val="28"/>
        </w:rPr>
      </w:pPr>
      <w:bookmarkStart w:id="21" w:name="P0445"/>
      <w:bookmarkEnd w:id="21"/>
      <w:r>
        <w:rPr>
          <w:rFonts w:cs="DejaVu Math TeX Gyre" w:ascii="Arimo" w:hAnsi="Arimo"/>
          <w:b w:val="false"/>
          <w:bCs w:val="false"/>
          <w:sz w:val="24"/>
          <w:szCs w:val="24"/>
          <w:shd w:fill="auto" w:val="clear"/>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22" w:name="Par374"/>
      <w:bookmarkEnd w:id="22"/>
    </w:p>
    <w:p>
      <w:pPr>
        <w:pStyle w:val="ConsPlusNorma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Материалы, прикладываемые к жалобе, в том числе фото- и видеоматериалы, представляются контролируемым лицом в электронном виде.</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color w:val="auto"/>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pPr>
        <w:pStyle w:val="ConsPlusNormal"/>
        <w:ind w:left="0" w:right="0" w:firstLine="709"/>
        <w:jc w:val="both"/>
        <w:rPr>
          <w:rFonts w:ascii="DejaVu Math TeX Gyre" w:hAnsi="DejaVu Math TeX Gyre" w:cs="DejaVu Math TeX Gyre"/>
          <w:color w:val="auto"/>
          <w:sz w:val="28"/>
          <w:szCs w:val="28"/>
        </w:rPr>
      </w:pPr>
      <w:r>
        <w:rPr>
          <w:rFonts w:cs="DejaVu Math TeX Gyre" w:ascii="Arimo" w:hAnsi="Arimo"/>
          <w:b w:val="false"/>
          <w:bCs w:val="false"/>
          <w:sz w:val="24"/>
          <w:szCs w:val="24"/>
        </w:rPr>
        <w:t>5.3. Жалоба на решение Контрольного органа, действие (бездействие) его должностных лиц рассматривается руководителем Контрольного органа.</w:t>
      </w:r>
    </w:p>
    <w:p>
      <w:pPr>
        <w:pStyle w:val="Normal"/>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auto"/>
          <w:sz w:val="24"/>
          <w:szCs w:val="24"/>
        </w:rPr>
        <w:t>Жалоба на действия (бездействия) руководителя Контрольного органа рассматривается Главой муниципального образования «город Агрыз» Агрызского муниципального района Республики Татарстан</w:t>
      </w:r>
      <w:r>
        <w:rPr>
          <w:rFonts w:cs="DejaVu Math TeX Gyre" w:ascii="Arimo" w:hAnsi="Arimo"/>
          <w:b w:val="false"/>
          <w:bCs w:val="false"/>
          <w:i/>
          <w:color w:val="auto"/>
          <w:sz w:val="24"/>
          <w:szCs w:val="24"/>
        </w:rPr>
        <w:t>.</w:t>
      </w:r>
    </w:p>
    <w:p>
      <w:pPr>
        <w:pStyle w:val="ConsPlusNormal"/>
        <w:ind w:left="0" w:right="0" w:firstLine="709"/>
        <w:jc w:val="both"/>
        <w:rPr>
          <w:rFonts w:ascii="DejaVu Math TeX Gyre" w:hAnsi="DejaVu Math TeX Gyre" w:cs="DejaVu Math TeX Gyre"/>
          <w:color w:val="000000"/>
          <w:sz w:val="28"/>
          <w:szCs w:val="28"/>
          <w:shd w:fill="auto" w:val="clear"/>
        </w:rPr>
      </w:pPr>
      <w:bookmarkStart w:id="23" w:name="Par375"/>
      <w:bookmarkEnd w:id="23"/>
      <w:r>
        <w:rPr>
          <w:rFonts w:cs="DejaVu Math TeX Gyre" w:ascii="Arimo" w:hAnsi="Arimo"/>
          <w:b w:val="false"/>
          <w:bCs w:val="false"/>
          <w:sz w:val="24"/>
          <w:szCs w:val="24"/>
          <w:shd w:fill="auto" w:val="clear"/>
        </w:rPr>
        <w:t xml:space="preserve">5.4. </w:t>
      </w:r>
      <w:r>
        <w:rPr>
          <w:rFonts w:cs="DejaVu Math TeX Gyre" w:ascii="Arimo" w:hAnsi="Arimo"/>
          <w:b w:val="false"/>
          <w:bCs w:val="false"/>
          <w:color w:val="000000"/>
          <w:sz w:val="24"/>
          <w:szCs w:val="24"/>
          <w:shd w:fill="auto" w:val="clear"/>
        </w:rPr>
        <w:t>Жалоба на решение контрольного (надзорного) органа, действия (бездействие) его должностных лиц  подается в течение тридцати календарных дней со дня, когда контролируемое лицо узнало или должно было узнать о нарушении своих прав.</w:t>
      </w:r>
    </w:p>
    <w:p>
      <w:pPr>
        <w:pStyle w:val="ConsPlusNormal"/>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color w:val="000000"/>
          <w:sz w:val="24"/>
          <w:szCs w:val="24"/>
          <w:shd w:fill="auto" w:val="clear"/>
        </w:rPr>
        <w:t>Жалоба на предписание контрольного (надзорного) органа подается в течение десяти рабочих дней с момента получения контролируемым лицом предписания.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 xml:space="preserve">5.5. </w:t>
      </w:r>
      <w:r>
        <w:rPr>
          <w:rFonts w:cs="DejaVu Math TeX Gyre" w:ascii="Arimo" w:hAnsi="Arimo"/>
          <w:b w:val="false"/>
          <w:bCs w:val="false"/>
          <w:color w:val="000000"/>
          <w:sz w:val="24"/>
          <w:szCs w:val="24"/>
          <w:shd w:fill="auto" w:val="clear"/>
        </w:rPr>
        <w:t>В случае пропуска по уважительной причине срока подачи жалобы этот срок по ходатайству лица, подающего жалобу,  восстанавливается</w:t>
      </w:r>
      <w:r>
        <w:rPr>
          <w:rFonts w:cs="DejaVu Math TeX Gyre" w:ascii="Arimo" w:hAnsi="Arimo"/>
          <w:b w:val="false"/>
          <w:bCs w:val="false"/>
          <w:sz w:val="24"/>
          <w:szCs w:val="24"/>
          <w:shd w:fill="auto" w:val="clear"/>
        </w:rPr>
        <w:t xml:space="preserve"> Контрольным органом.</w:t>
      </w:r>
      <w:bookmarkStart w:id="24" w:name="Par377"/>
      <w:bookmarkEnd w:id="24"/>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5.6. Контролируемое лицо, подавшее жалобу, до принятия решения по жалобе имеет право отозвать ее. При этом повторное направление жалобы по тем же основаниям не допускается.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5.7. Жалоба может содержать ходатайство о приостановлении исполнения обжалуемого решения Контрольного органа.</w:t>
      </w:r>
      <w:bookmarkStart w:id="25" w:name="Par379"/>
      <w:bookmarkEnd w:id="25"/>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о приостановлении исполнения обжалуемого решения Контрольного органа;</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2) об отказе в приостановлении исполнения обжалуемого решения Контрольного органа. </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ListParagraph"/>
        <w:widowControl/>
        <w:tabs>
          <w:tab w:val="clear" w:pos="708"/>
          <w:tab w:val="left" w:pos="1134" w:leader="none"/>
        </w:tabs>
        <w:ind w:left="709" w:right="0" w:hanging="0"/>
        <w:jc w:val="both"/>
        <w:rPr>
          <w:rFonts w:ascii="DejaVu Math TeX Gyre" w:hAnsi="DejaVu Math TeX Gyre" w:cs="DejaVu Math TeX Gyre"/>
          <w:sz w:val="28"/>
          <w:szCs w:val="28"/>
        </w:rPr>
      </w:pPr>
      <w:bookmarkStart w:id="26" w:name="Par383"/>
      <w:bookmarkEnd w:id="26"/>
      <w:r>
        <w:rPr>
          <w:rFonts w:cs="DejaVu Math TeX Gyre" w:ascii="Arimo" w:hAnsi="Arimo"/>
          <w:b w:val="false"/>
          <w:bCs w:val="false"/>
          <w:sz w:val="24"/>
          <w:szCs w:val="24"/>
        </w:rPr>
        <w:t>5.9. Жалоба должна содержать:</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ind w:left="0" w:right="0" w:firstLine="709"/>
        <w:jc w:val="both"/>
        <w:rPr>
          <w:rFonts w:ascii="DejaVu Math TeX Gyre" w:hAnsi="DejaVu Math TeX Gyre" w:cs="DejaVu Math TeX Gyre"/>
          <w:sz w:val="28"/>
          <w:szCs w:val="28"/>
          <w:shd w:fill="auto" w:val="clear"/>
        </w:rPr>
      </w:pPr>
      <w:r>
        <w:rPr>
          <w:rFonts w:cs="DejaVu Math TeX Gyre" w:ascii="Arimo" w:hAnsi="Arimo"/>
          <w:b w:val="false"/>
          <w:bCs w:val="false"/>
          <w:sz w:val="24"/>
          <w:szCs w:val="24"/>
        </w:rPr>
        <w:t>5) требования контролируемого лица, подавшего жалобу;</w:t>
      </w:r>
    </w:p>
    <w:p>
      <w:pPr>
        <w:pStyle w:val="ConsPlusNormal"/>
        <w:ind w:left="0" w:right="0" w:firstLine="709"/>
        <w:jc w:val="both"/>
        <w:rPr>
          <w:rFonts w:ascii="DejaVu Math TeX Gyre" w:hAnsi="DejaVu Math TeX Gyre" w:cs="DejaVu Math TeX Gyre"/>
          <w:color w:val="000000"/>
          <w:sz w:val="28"/>
          <w:szCs w:val="28"/>
          <w:shd w:fill="auto" w:val="clear"/>
        </w:rPr>
      </w:pPr>
      <w:r>
        <w:rPr>
          <w:rFonts w:cs="DejaVu Math TeX Gyre" w:ascii="Arimo" w:hAnsi="Arimo"/>
          <w:b w:val="false"/>
          <w:bCs w:val="false"/>
          <w:sz w:val="24"/>
          <w:szCs w:val="24"/>
          <w:shd w:fill="auto" w:val="clear"/>
        </w:rPr>
        <w:t xml:space="preserve">6) </w:t>
      </w:r>
      <w:bookmarkStart w:id="27" w:name="startSelection_Копия_2_Копия_1"/>
      <w:bookmarkStart w:id="28" w:name="P046A"/>
      <w:bookmarkEnd w:id="27"/>
      <w:bookmarkEnd w:id="28"/>
      <w:r>
        <w:rPr>
          <w:rFonts w:cs="DejaVu Math TeX Gyre" w:ascii="Arimo" w:hAnsi="Arimo"/>
          <w:b w:val="false"/>
          <w:bCs w:val="false"/>
          <w:sz w:val="24"/>
          <w:szCs w:val="24"/>
          <w:shd w:fill="auto" w:val="clear"/>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color w:val="000000"/>
          <w:sz w:val="24"/>
          <w:szCs w:val="24"/>
          <w:shd w:fill="auto" w:val="clear"/>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ind w:left="0" w:right="0" w:firstLine="709"/>
        <w:jc w:val="both"/>
        <w:rPr>
          <w:rFonts w:ascii="DejaVu Math TeX Gyre" w:hAnsi="DejaVu Math TeX Gyre" w:cs="DejaVu Math TeX Gyre"/>
          <w:sz w:val="28"/>
          <w:szCs w:val="28"/>
        </w:rPr>
      </w:pPr>
      <w:bookmarkStart w:id="29" w:name="Par390"/>
      <w:bookmarkEnd w:id="29"/>
      <w:r>
        <w:rPr>
          <w:rFonts w:cs="DejaVu Math TeX Gyre" w:ascii="Arimo" w:hAnsi="Arimo"/>
          <w:b w:val="false"/>
          <w:bCs w:val="false"/>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5.11. Подача жалобы осуществляется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5.12. Контрольный орган принимает решение об отказе в рассмотрении жалобы в течение пяти рабочих дней со дня получения жалобы, если:</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в удовлетворении ходатайства о восстановлении пропущенного срока на подачу жалобы отказано;</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до принятия решения по жалобе от контролируемого лица, ее подавшего, поступило заявление об отзыве жалобы;</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имеется решение суда по вопросам, поставленным в жалобе;</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 ранее в Контрольный орган была подана другая жалоба от того же контролируемого лица по тем же основаниям;</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8) жалоба подана в ненадлежащий орган;</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9) законодательством Российской Федерации предусмотрен только судебный порядок обжалования решений Контрольного органа.</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служит основанием для судебного обжалования решений Контрольного органа, действий (бездействия) должностных лиц. </w:t>
      </w:r>
    </w:p>
    <w:p>
      <w:pPr>
        <w:pStyle w:val="ConsPlusNormal"/>
        <w:ind w:left="0" w:right="0" w:firstLine="709"/>
        <w:jc w:val="both"/>
        <w:rPr>
          <w:rFonts w:ascii="DejaVu Math TeX Gyre" w:hAnsi="DejaVu Math TeX Gyre" w:eastAsia="Calibri" w:cs="DejaVu Math TeX Gyre"/>
          <w:sz w:val="28"/>
          <w:szCs w:val="28"/>
        </w:rPr>
      </w:pPr>
      <w:r>
        <w:rPr>
          <w:rFonts w:cs="DejaVu Math TeX Gyre" w:ascii="Arimo" w:hAnsi="Arimo"/>
          <w:b w:val="false"/>
          <w:bCs w:val="false"/>
          <w:sz w:val="24"/>
          <w:szCs w:val="24"/>
        </w:rPr>
        <w:t xml:space="preserve">5.14. </w:t>
      </w:r>
      <w:r>
        <w:rPr>
          <w:rFonts w:eastAsia="Calibri" w:cs="DejaVu Math TeX Gyre" w:ascii="Arimo" w:hAnsi="Arimo"/>
          <w:b w:val="false"/>
          <w:bCs w:val="false"/>
          <w:sz w:val="24"/>
          <w:szCs w:val="24"/>
        </w:rPr>
        <w:t>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 утвержденными Правительством Российской Федерации.</w:t>
      </w:r>
    </w:p>
    <w:p>
      <w:pPr>
        <w:pStyle w:val="Normal"/>
        <w:widowControl/>
        <w:jc w:val="both"/>
        <w:rPr>
          <w:rFonts w:ascii="DejaVu Math TeX Gyre" w:hAnsi="DejaVu Math TeX Gyre" w:eastAsia="Calibri" w:cs="DejaVu Math TeX Gyre"/>
          <w:sz w:val="28"/>
          <w:szCs w:val="28"/>
        </w:rPr>
      </w:pPr>
      <w:r>
        <w:rPr>
          <w:rFonts w:eastAsia="Calibri" w:cs="DejaVu Math TeX Gyre" w:ascii="Arimo" w:hAnsi="Arimo"/>
          <w:b w:val="false"/>
          <w:bCs w:val="false"/>
          <w:sz w:val="24"/>
          <w:szCs w:val="24"/>
        </w:rPr>
        <w:t>Контрольный орган обеспечивает передачу в подсистему досудебного обжалования контрольной (надзорной) деятельности сведения о ходе рассмотрения жалобы.</w:t>
      </w:r>
    </w:p>
    <w:p>
      <w:pPr>
        <w:pStyle w:val="Normal"/>
        <w:widowControl/>
        <w:jc w:val="both"/>
        <w:rPr>
          <w:rFonts w:ascii="DejaVu Math TeX Gyre" w:hAnsi="DejaVu Math TeX Gyre" w:cs="DejaVu Math TeX Gyre"/>
          <w:sz w:val="28"/>
          <w:szCs w:val="28"/>
          <w:shd w:fill="auto" w:val="clear"/>
        </w:rPr>
      </w:pPr>
      <w:r>
        <w:rPr>
          <w:rFonts w:eastAsia="Calibri" w:cs="DejaVu Math TeX Gyre" w:ascii="Arimo" w:hAnsi="Arimo"/>
          <w:b w:val="false"/>
          <w:bCs w:val="false"/>
          <w:sz w:val="24"/>
          <w:szCs w:val="24"/>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shd w:fill="auto" w:val="clear"/>
        </w:rPr>
        <w:t>5.15 Жалоба подлежит рассмотрению уполномоченным Органом в течении пятнадцати дней со дня её регистрации в подсистеме досудебного обжалования.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5.16. </w:t>
      </w:r>
      <w:r>
        <w:rPr>
          <w:rFonts w:cs="DejaVu Math TeX Gyre" w:ascii="Arimo" w:hAnsi="Arimo"/>
          <w:b w:val="false"/>
          <w:bCs w:val="false"/>
          <w:color w:val="000000"/>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5.17. Контрольный орган имеет право запросить у контролируемого лица, подавшего жалобу, дополнительную информацию и документы, относящиеся к предмету жалобы. Контролируемое лицо имеет право представить указанную информацию и документы в течение пяти рабочих дней с момента направления запроса.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HTMLPreformatted"/>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Лицо, подавшее жалобу, до принятия итогового решения по жалобе имеет право по своему усмотрению представить дополнительные материалы, относящиеся к предмету жалобы.</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ListParagraph"/>
        <w:widowControl/>
        <w:tabs>
          <w:tab w:val="clear" w:pos="708"/>
          <w:tab w:val="left" w:pos="1134" w:leader="none"/>
        </w:tabs>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оставляет жалобу без удовлетворения;</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отменяет решение Контрольного органа полностью или частично;</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отменяет решение Контрольного органа полностью и принимает новое решение;</w:t>
      </w:r>
    </w:p>
    <w:p>
      <w:pPr>
        <w:pStyle w:val="ConsPlus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
        <w:ind w:left="0" w:right="0" w:firstLine="709"/>
        <w:jc w:val="both"/>
        <w:rPr>
          <w:rFonts w:ascii="DejaVu Math TeX Gyre" w:hAnsi="DejaVu Math TeX Gyre" w:eastAsia="Calibri" w:cs="DejaVu Math TeX Gyre"/>
          <w:sz w:val="28"/>
          <w:szCs w:val="28"/>
          <w:lang w:eastAsia="en-US"/>
        </w:rPr>
      </w:pPr>
      <w:r>
        <w:rPr>
          <w:rFonts w:cs="DejaVu Math TeX Gyre" w:ascii="Arimo" w:hAnsi="Arimo"/>
          <w:b w:val="false"/>
          <w:bCs w:val="false"/>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ConsPlusNormal"/>
        <w:ind w:left="0" w:right="0" w:firstLine="709"/>
        <w:jc w:val="both"/>
        <w:rPr>
          <w:rFonts w:ascii="DejaVu Math TeX Gyre" w:hAnsi="DejaVu Math TeX Gyre" w:cs="DejaVu Math TeX Gyre"/>
          <w:sz w:val="28"/>
          <w:szCs w:val="28"/>
        </w:rPr>
      </w:pPr>
      <w:r>
        <w:rPr>
          <w:rFonts w:eastAsia="Calibri" w:cs="DejaVu Math TeX Gyre" w:ascii="Arimo" w:hAnsi="Arimo"/>
          <w:b w:val="false"/>
          <w:bCs w:val="false"/>
          <w:sz w:val="24"/>
          <w:szCs w:val="24"/>
          <w:lang w:eastAsia="en-US"/>
        </w:rPr>
        <w:t>Решение Контрольного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p>
    <w:p>
      <w:pPr>
        <w:pStyle w:val="ConsPlus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ConsPlus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ind w:left="4536" w:right="0" w:hanging="0"/>
        <w:jc w:val="right"/>
        <w:rPr>
          <w:rFonts w:ascii="DejaVu Math TeX Gyre" w:hAnsi="DejaVu Math TeX Gyre" w:cs="DejaVu Math TeX Gyre"/>
          <w:sz w:val="28"/>
          <w:szCs w:val="28"/>
        </w:rPr>
      </w:pPr>
      <w:r>
        <w:rPr>
          <w:rFonts w:cs="DejaVu Math TeX Gyre" w:ascii="Arimo" w:hAnsi="Arimo"/>
          <w:b w:val="false"/>
          <w:bCs w:val="false"/>
          <w:sz w:val="24"/>
          <w:szCs w:val="24"/>
        </w:rPr>
        <w:t>Приложение 1</w:t>
      </w:r>
    </w:p>
    <w:p>
      <w:pPr>
        <w:pStyle w:val="Normal"/>
        <w:widowControl/>
        <w:ind w:left="4536" w:right="0" w:hanging="0"/>
        <w:jc w:val="right"/>
        <w:rPr>
          <w:rFonts w:ascii="DejaVu Math TeX Gyre" w:hAnsi="DejaVu Math TeX Gyre" w:cs="DejaVu Math TeX Gyre"/>
          <w:sz w:val="28"/>
          <w:szCs w:val="28"/>
        </w:rPr>
      </w:pPr>
      <w:r>
        <w:rPr>
          <w:rFonts w:cs="DejaVu Math TeX Gyre" w:ascii="Arimo" w:hAnsi="Arimo"/>
          <w:b w:val="false"/>
          <w:bCs w:val="false"/>
          <w:sz w:val="24"/>
          <w:szCs w:val="24"/>
        </w:rPr>
        <w:t>к Положению о муниципальном контроле в сфере благоустройства на территории муниципального образования «город Агрыз» Агрызского муниципального района</w:t>
      </w:r>
    </w:p>
    <w:p>
      <w:pPr>
        <w:pStyle w:val="Normal"/>
        <w:widowControl/>
        <w:ind w:left="4536" w:right="0" w:hanging="0"/>
        <w:jc w:val="right"/>
        <w:rPr>
          <w:rFonts w:ascii="DejaVu Math TeX Gyre" w:hAnsi="DejaVu Math TeX Gyre" w:cs="DejaVu Math TeX Gyre"/>
          <w:sz w:val="28"/>
          <w:szCs w:val="28"/>
          <w:shd w:fill="F1C100" w:val="clear"/>
        </w:rPr>
      </w:pPr>
      <w:r>
        <w:rPr>
          <w:rFonts w:eastAsia="DejaVu Math TeX Gyre" w:cs="DejaVu Math TeX Gyre" w:ascii="Arimo" w:hAnsi="Arimo"/>
          <w:b w:val="false"/>
          <w:bCs w:val="false"/>
          <w:sz w:val="24"/>
          <w:szCs w:val="24"/>
        </w:rPr>
        <w:t xml:space="preserve"> </w:t>
      </w:r>
      <w:r>
        <w:rPr>
          <w:rFonts w:cs="DejaVu Math TeX Gyre" w:ascii="Arimo" w:hAnsi="Arimo"/>
          <w:b w:val="false"/>
          <w:bCs w:val="false"/>
          <w:sz w:val="24"/>
          <w:szCs w:val="24"/>
        </w:rPr>
        <w:t>Республики Татарстан</w:t>
      </w:r>
    </w:p>
    <w:p>
      <w:pPr>
        <w:pStyle w:val="ConsPlusNormal"/>
        <w:spacing w:lineRule="exact" w:line="240"/>
        <w:jc w:val="center"/>
        <w:rPr>
          <w:rFonts w:ascii="Arimo" w:hAnsi="Arimo" w:cs="DejaVu Math TeX Gyre"/>
          <w:b w:val="false"/>
          <w:bCs w:val="false"/>
          <w:sz w:val="24"/>
          <w:szCs w:val="24"/>
          <w:shd w:fill="F1C100" w:val="clear"/>
        </w:rPr>
      </w:pPr>
      <w:r>
        <w:rPr>
          <w:rFonts w:cs="DejaVu Math TeX Gyre" w:ascii="Arimo" w:hAnsi="Arimo"/>
          <w:b w:val="false"/>
          <w:bCs w:val="false"/>
          <w:sz w:val="24"/>
          <w:szCs w:val="24"/>
          <w:shd w:fill="F1C100" w:val="clear"/>
        </w:rPr>
      </w:r>
    </w:p>
    <w:p>
      <w:pPr>
        <w:pStyle w:val="ConsPlusNormal"/>
        <w:ind w:left="0" w:right="0" w:hanging="0"/>
        <w:jc w:val="center"/>
        <w:rPr>
          <w:rFonts w:ascii="DejaVu Math TeX Gyre" w:hAnsi="DejaVu Math TeX Gyre" w:cs="DejaVu Math TeX Gyre"/>
          <w:color w:val="000000"/>
          <w:sz w:val="28"/>
          <w:szCs w:val="28"/>
          <w:shd w:fill="F1C100" w:val="clear"/>
        </w:rPr>
      </w:pPr>
      <w:r>
        <w:rPr>
          <w:rFonts w:cs="DejaVu Math TeX Gyre" w:ascii="Arimo" w:hAnsi="Arimo"/>
          <w:b w:val="false"/>
          <w:bCs w:val="false"/>
          <w:sz w:val="24"/>
          <w:szCs w:val="24"/>
        </w:rPr>
        <w:t xml:space="preserve">Критерии отнесения объектов контроля </w:t>
      </w:r>
      <w:r>
        <w:rPr>
          <w:rFonts w:cs="DejaVu Math TeX Gyre" w:ascii="Arimo" w:hAnsi="Arimo"/>
          <w:b w:val="false"/>
          <w:bCs w:val="false"/>
          <w:color w:val="000000"/>
          <w:sz w:val="24"/>
          <w:szCs w:val="24"/>
        </w:rPr>
        <w:t xml:space="preserve">к категориям риска в рамках осуществления муниципального контроля в сфере благоустройства </w:t>
      </w:r>
      <w:r>
        <w:rPr>
          <w:rFonts w:cs="DejaVu Math TeX Gyre" w:ascii="Arimo" w:hAnsi="Arimo"/>
          <w:b w:val="false"/>
          <w:bCs w:val="false"/>
          <w:sz w:val="24"/>
          <w:szCs w:val="24"/>
        </w:rPr>
        <w:t xml:space="preserve"> на территории муниципального образования «город Агрыз»  Агрызском муниципальном районе Республики Татарстан</w:t>
      </w:r>
    </w:p>
    <w:p>
      <w:pPr>
        <w:pStyle w:val="ConsPlusNormal"/>
        <w:spacing w:lineRule="exact" w:line="240"/>
        <w:ind w:left="0" w:right="0" w:hanging="0"/>
        <w:jc w:val="center"/>
        <w:rPr>
          <w:rFonts w:ascii="Arimo" w:hAnsi="Arimo" w:cs="DejaVu Math TeX Gyre"/>
          <w:b w:val="false"/>
          <w:bCs w:val="false"/>
          <w:color w:val="000000"/>
          <w:sz w:val="24"/>
          <w:szCs w:val="24"/>
          <w:shd w:fill="F1C100" w:val="clear"/>
        </w:rPr>
      </w:pPr>
      <w:r>
        <w:rPr>
          <w:rFonts w:cs="DejaVu Math TeX Gyre" w:ascii="Arimo" w:hAnsi="Arimo"/>
          <w:b w:val="false"/>
          <w:bCs w:val="false"/>
          <w:color w:val="000000"/>
          <w:sz w:val="24"/>
          <w:szCs w:val="24"/>
          <w:shd w:fill="F1C100" w:val="clear"/>
        </w:rPr>
      </w:r>
    </w:p>
    <w:tbl>
      <w:tblPr>
        <w:tblW w:w="10193" w:type="dxa"/>
        <w:jc w:val="left"/>
        <w:tblInd w:w="262" w:type="dxa"/>
        <w:tblLayout w:type="fixed"/>
        <w:tblCellMar>
          <w:top w:w="0" w:type="dxa"/>
          <w:left w:w="130" w:type="dxa"/>
          <w:bottom w:w="0" w:type="dxa"/>
          <w:right w:w="130" w:type="dxa"/>
        </w:tblCellMar>
      </w:tblPr>
      <w:tblGrid>
        <w:gridCol w:w="642"/>
        <w:gridCol w:w="7566"/>
        <w:gridCol w:w="1985"/>
      </w:tblGrid>
      <w:tr>
        <w:trPr>
          <w:trHeight w:val="795" w:hRule="atLeast"/>
        </w:trPr>
        <w:tc>
          <w:tcPr>
            <w:tcW w:w="642" w:type="dxa"/>
            <w:tcBorders>
              <w:top w:val="single" w:sz="6" w:space="0" w:color="000000"/>
              <w:left w:val="single" w:sz="6" w:space="0" w:color="000000"/>
              <w:right w:val="single" w:sz="6" w:space="0" w:color="000000"/>
            </w:tcBorders>
          </w:tcPr>
          <w:p>
            <w:pPr>
              <w:pStyle w:val="Normal"/>
              <w:widowControl w:val="false"/>
              <w:rPr>
                <w:rFonts w:ascii="Arimo" w:hAnsi="Arimo"/>
                <w:b w:val="false"/>
                <w:bCs w:val="false"/>
                <w:sz w:val="24"/>
                <w:szCs w:val="24"/>
              </w:rPr>
            </w:pPr>
            <w:r>
              <w:rPr>
                <w:rFonts w:cs="DejaVu Math TeX Gyre" w:ascii="Arimo" w:hAnsi="Arimo"/>
                <w:b w:val="false"/>
                <w:bCs w:val="false"/>
                <w:sz w:val="24"/>
                <w:szCs w:val="24"/>
              </w:rPr>
              <w:t> </w:t>
            </w:r>
            <w:r>
              <w:rPr>
                <w:rFonts w:cs="DejaVu Math TeX Gyre" w:ascii="Arimo" w:hAnsi="Arimo"/>
                <w:b w:val="false"/>
                <w:bCs w:val="false"/>
                <w:sz w:val="24"/>
                <w:szCs w:val="24"/>
              </w:rPr>
              <w:t>п/п</w:t>
            </w:r>
          </w:p>
        </w:tc>
        <w:tc>
          <w:tcPr>
            <w:tcW w:w="7566" w:type="dxa"/>
            <w:tcBorders>
              <w:top w:val="single" w:sz="6" w:space="0" w:color="000000"/>
              <w:left w:val="single" w:sz="6" w:space="0" w:color="000000"/>
              <w:right w:val="single" w:sz="6" w:space="0" w:color="000000"/>
            </w:tcBorders>
          </w:tcPr>
          <w:p>
            <w:pPr>
              <w:pStyle w:val="Normal"/>
              <w:widowControl w:val="false"/>
              <w:jc w:val="center"/>
              <w:rPr>
                <w:rFonts w:ascii="Arimo" w:hAnsi="Arimo"/>
                <w:b w:val="false"/>
                <w:bCs w:val="false"/>
                <w:sz w:val="24"/>
                <w:szCs w:val="24"/>
              </w:rPr>
            </w:pPr>
            <w:r>
              <w:rPr>
                <w:rFonts w:cs="DejaVu Math TeX Gyre" w:ascii="Arimo" w:hAnsi="Arimo"/>
                <w:b w:val="false"/>
                <w:bCs w:val="false"/>
                <w:sz w:val="24"/>
                <w:szCs w:val="24"/>
              </w:rPr>
              <w:t>Объекты муниципального контроля в сфере благоустройства на территории муниципального образования «город Агрыз» Агрызском муниципальном районе</w:t>
            </w:r>
          </w:p>
        </w:tc>
        <w:tc>
          <w:tcPr>
            <w:tcW w:w="1985" w:type="dxa"/>
            <w:tcBorders>
              <w:top w:val="single" w:sz="6" w:space="0" w:color="000000"/>
              <w:left w:val="single" w:sz="6" w:space="0" w:color="000000"/>
              <w:right w:val="single" w:sz="6" w:space="0" w:color="000000"/>
            </w:tcBorders>
          </w:tcPr>
          <w:p>
            <w:pPr>
              <w:pStyle w:val="Normal"/>
              <w:widowControl w:val="false"/>
              <w:jc w:val="center"/>
              <w:rPr>
                <w:rFonts w:ascii="Arimo" w:hAnsi="Arimo" w:cs="DejaVu Math TeX Gyre"/>
                <w:b w:val="false"/>
                <w:bCs w:val="false"/>
                <w:sz w:val="24"/>
                <w:szCs w:val="24"/>
              </w:rPr>
            </w:pPr>
            <w:r>
              <w:rPr>
                <w:rFonts w:cs="DejaVu Math TeX Gyre" w:ascii="Arimo" w:hAnsi="Arimo"/>
                <w:b w:val="false"/>
                <w:bCs w:val="false"/>
                <w:sz w:val="24"/>
                <w:szCs w:val="24"/>
              </w:rPr>
              <w:t>Категория риска</w:t>
            </w:r>
          </w:p>
        </w:tc>
      </w:tr>
      <w:tr>
        <w:trPr/>
        <w:tc>
          <w:tcPr>
            <w:tcW w:w="642" w:type="dxa"/>
            <w:tcBorders>
              <w:top w:val="single" w:sz="6" w:space="0" w:color="000000"/>
              <w:left w:val="single" w:sz="6" w:space="0" w:color="000000"/>
              <w:right w:val="single" w:sz="6" w:space="0" w:color="000000"/>
            </w:tcBorders>
          </w:tcPr>
          <w:p>
            <w:pPr>
              <w:pStyle w:val="Normal"/>
              <w:widowControl w:val="false"/>
              <w:jc w:val="center"/>
              <w:rPr>
                <w:rFonts w:ascii="Arimo" w:hAnsi="Arimo" w:cs="DejaVu Math TeX Gyre"/>
                <w:b w:val="false"/>
                <w:bCs w:val="false"/>
                <w:sz w:val="24"/>
                <w:szCs w:val="24"/>
              </w:rPr>
            </w:pPr>
            <w:r>
              <w:rPr>
                <w:rFonts w:cs="DejaVu Math TeX Gyre" w:ascii="Arimo" w:hAnsi="Arimo"/>
                <w:b w:val="false"/>
                <w:bCs w:val="false"/>
                <w:sz w:val="24"/>
                <w:szCs w:val="24"/>
              </w:rPr>
              <w:t>1</w:t>
            </w:r>
          </w:p>
        </w:tc>
        <w:tc>
          <w:tcPr>
            <w:tcW w:w="7566" w:type="dxa"/>
            <w:tcBorders>
              <w:top w:val="single" w:sz="6" w:space="0" w:color="000000"/>
              <w:left w:val="single" w:sz="6" w:space="0" w:color="000000"/>
              <w:right w:val="single" w:sz="6" w:space="0" w:color="000000"/>
            </w:tcBorders>
          </w:tcPr>
          <w:p>
            <w:pPr>
              <w:pStyle w:val="Normal"/>
              <w:widowControl w:val="false"/>
              <w:jc w:val="both"/>
              <w:rPr>
                <w:rFonts w:ascii="Arimo" w:hAnsi="Arimo" w:cs="DejaVu Math TeX Gyre"/>
                <w:b w:val="false"/>
                <w:bCs w:val="false"/>
                <w:sz w:val="24"/>
                <w:szCs w:val="24"/>
              </w:rPr>
            </w:pPr>
            <w:r>
              <w:rPr>
                <w:rFonts w:cs="DejaVu Math TeX Gyre" w:ascii="Arimo" w:hAnsi="Arimo"/>
                <w:b w:val="false"/>
                <w:bCs w:val="false"/>
                <w:sz w:val="24"/>
                <w:szCs w:val="24"/>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не исполненного в срок, установленный решением, выданным по факту несоблюдения обязательных требований, подлежащих исполнению (соблюдению) контролируемыми лицами</w:t>
            </w:r>
          </w:p>
        </w:tc>
        <w:tc>
          <w:tcPr>
            <w:tcW w:w="1985" w:type="dxa"/>
            <w:tcBorders>
              <w:top w:val="single" w:sz="6" w:space="0" w:color="000000"/>
              <w:left w:val="single" w:sz="6" w:space="0" w:color="000000"/>
              <w:right w:val="single" w:sz="6" w:space="0" w:color="000000"/>
            </w:tcBorders>
          </w:tcPr>
          <w:p>
            <w:pPr>
              <w:pStyle w:val="Normal"/>
              <w:widowControl w:val="false"/>
              <w:jc w:val="center"/>
              <w:rPr>
                <w:rFonts w:ascii="Arimo" w:hAnsi="Arimo" w:cs="DejaVu Math TeX Gyre"/>
                <w:b w:val="false"/>
                <w:bCs w:val="false"/>
                <w:sz w:val="24"/>
                <w:szCs w:val="24"/>
              </w:rPr>
            </w:pPr>
            <w:r>
              <w:rPr>
                <w:rFonts w:cs="DejaVu Math TeX Gyre" w:ascii="Arimo" w:hAnsi="Arimo"/>
                <w:b w:val="false"/>
                <w:bCs w:val="false"/>
                <w:sz w:val="24"/>
                <w:szCs w:val="24"/>
              </w:rPr>
              <w:t>Средний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mo" w:hAnsi="Arimo" w:cs="DejaVu Math TeX Gyre"/>
                <w:b w:val="false"/>
                <w:bCs w:val="false"/>
                <w:sz w:val="24"/>
                <w:szCs w:val="24"/>
              </w:rPr>
            </w:pPr>
            <w:r>
              <w:rPr>
                <w:rFonts w:cs="DejaVu Math TeX Gyre" w:ascii="Arimo" w:hAnsi="Arimo"/>
                <w:b w:val="false"/>
                <w:bCs w:val="false"/>
                <w:sz w:val="24"/>
                <w:szCs w:val="24"/>
              </w:rPr>
              <w:t>2</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Arimo" w:hAnsi="Arimo" w:cs="DejaVu Math TeX Gyre"/>
                <w:b w:val="false"/>
                <w:bCs w:val="false"/>
                <w:sz w:val="24"/>
                <w:szCs w:val="24"/>
              </w:rPr>
            </w:pPr>
            <w:r>
              <w:rPr>
                <w:rFonts w:cs="DejaVu Math TeX Gyre" w:ascii="Arimo" w:hAnsi="Arimo"/>
                <w:b w:val="false"/>
                <w:bCs w:val="false"/>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mo" w:hAnsi="Arimo" w:cs="DejaVu Math TeX Gyre"/>
                <w:b w:val="false"/>
                <w:bCs w:val="false"/>
                <w:sz w:val="24"/>
                <w:szCs w:val="24"/>
              </w:rPr>
            </w:pPr>
            <w:r>
              <w:rPr>
                <w:rFonts w:cs="DejaVu Math TeX Gyre" w:ascii="Arimo" w:hAnsi="Arimo"/>
                <w:b w:val="false"/>
                <w:bCs w:val="false"/>
                <w:sz w:val="24"/>
                <w:szCs w:val="24"/>
              </w:rPr>
              <w:t>Умеренный риск</w:t>
            </w:r>
          </w:p>
        </w:tc>
      </w:tr>
      <w:tr>
        <w:trPr/>
        <w:tc>
          <w:tcPr>
            <w:tcW w:w="6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mo" w:hAnsi="Arimo" w:cs="DejaVu Math TeX Gyre"/>
                <w:b w:val="false"/>
                <w:bCs w:val="false"/>
                <w:sz w:val="24"/>
                <w:szCs w:val="24"/>
              </w:rPr>
            </w:pPr>
            <w:r>
              <w:rPr>
                <w:rFonts w:cs="DejaVu Math TeX Gyre" w:ascii="Arimo" w:hAnsi="Arimo"/>
                <w:b w:val="false"/>
                <w:bCs w:val="false"/>
                <w:sz w:val="24"/>
                <w:szCs w:val="24"/>
              </w:rPr>
              <w:t>3</w:t>
            </w:r>
          </w:p>
        </w:tc>
        <w:tc>
          <w:tcPr>
            <w:tcW w:w="7566"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Arimo" w:hAnsi="Arimo" w:cs="DejaVu Math TeX Gyre"/>
                <w:b w:val="false"/>
                <w:bCs w:val="false"/>
                <w:sz w:val="24"/>
                <w:szCs w:val="24"/>
              </w:rPr>
            </w:pPr>
            <w:r>
              <w:rPr>
                <w:rFonts w:cs="DejaVu Math TeX Gyre" w:ascii="Arimo" w:hAnsi="Arimo"/>
                <w:b w:val="false"/>
                <w:bCs w:val="false"/>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Arimo" w:hAnsi="Arimo" w:cs="DejaVu Math TeX Gyre"/>
                <w:b w:val="false"/>
                <w:bCs w:val="false"/>
                <w:sz w:val="24"/>
                <w:szCs w:val="24"/>
              </w:rPr>
            </w:pPr>
            <w:r>
              <w:rPr>
                <w:rFonts w:cs="DejaVu Math TeX Gyre" w:ascii="Arimo" w:hAnsi="Arimo"/>
                <w:b w:val="false"/>
                <w:bCs w:val="false"/>
                <w:sz w:val="24"/>
                <w:szCs w:val="24"/>
              </w:rPr>
              <w:t>Низкий риск</w:t>
            </w:r>
          </w:p>
        </w:tc>
      </w:tr>
    </w:tbl>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Normal"/>
        <w:widowControl/>
        <w:spacing w:lineRule="auto" w:line="276" w:before="0" w:after="200"/>
        <w:ind w:left="0" w:right="0" w:firstLine="708"/>
        <w:jc w:val="right"/>
        <w:rPr>
          <w:rFonts w:ascii="Arimo" w:hAnsi="Arimo" w:cs="DejaVu Math TeX Gyre"/>
          <w:b w:val="false"/>
          <w:bCs w:val="false"/>
          <w:sz w:val="24"/>
          <w:szCs w:val="24"/>
        </w:rPr>
      </w:pPr>
      <w:r>
        <w:rPr>
          <w:rFonts w:cs="DejaVu Math TeX Gyre" w:ascii="Arimo" w:hAnsi="Arimo"/>
          <w:b w:val="false"/>
          <w:bCs w:val="false"/>
          <w:sz w:val="24"/>
          <w:szCs w:val="24"/>
        </w:rPr>
      </w:r>
    </w:p>
    <w:tbl>
      <w:tblPr>
        <w:tblW w:w="5000" w:type="pct"/>
        <w:jc w:val="left"/>
        <w:tblInd w:w="0" w:type="dxa"/>
        <w:tblLayout w:type="fixed"/>
        <w:tblCellMar>
          <w:top w:w="0" w:type="dxa"/>
          <w:left w:w="0" w:type="dxa"/>
          <w:bottom w:w="0" w:type="dxa"/>
          <w:right w:w="0" w:type="dxa"/>
        </w:tblCellMar>
      </w:tblPr>
      <w:tblGrid>
        <w:gridCol w:w="5951"/>
        <w:gridCol w:w="4141"/>
      </w:tblGrid>
      <w:tr>
        <w:trPr/>
        <w:tc>
          <w:tcPr>
            <w:tcW w:w="5951" w:type="dxa"/>
            <w:tcBorders/>
          </w:tcPr>
          <w:p>
            <w:pPr>
              <w:pStyle w:val="Style46"/>
              <w:widowControl w:val="false"/>
              <w:snapToGrid w:val="false"/>
              <w:jc w:val="center"/>
              <w:rPr>
                <w:rFonts w:ascii="Arimo" w:hAnsi="Arimo"/>
                <w:b w:val="false"/>
                <w:bCs w:val="false"/>
                <w:sz w:val="24"/>
                <w:szCs w:val="24"/>
              </w:rPr>
            </w:pPr>
            <w:r>
              <w:rPr>
                <w:rFonts w:ascii="Arimo" w:hAnsi="Arimo"/>
                <w:b w:val="false"/>
                <w:bCs w:val="false"/>
                <w:sz w:val="24"/>
                <w:szCs w:val="24"/>
              </w:rPr>
            </w:r>
          </w:p>
        </w:tc>
        <w:tc>
          <w:tcPr>
            <w:tcW w:w="4141" w:type="dxa"/>
            <w:tcBorders/>
          </w:tcPr>
          <w:p>
            <w:pPr>
              <w:pStyle w:val="Style46"/>
              <w:widowControl w:val="false"/>
              <w:jc w:val="both"/>
              <w:rPr>
                <w:sz w:val="24"/>
                <w:szCs w:val="24"/>
              </w:rPr>
            </w:pPr>
            <w:r>
              <w:rPr>
                <w:rFonts w:ascii="Arimo" w:hAnsi="Arimo"/>
                <w:b w:val="false"/>
                <w:bCs w:val="false"/>
                <w:sz w:val="24"/>
                <w:szCs w:val="24"/>
              </w:rPr>
              <w:t>Утверждено</w:t>
            </w:r>
          </w:p>
          <w:p>
            <w:pPr>
              <w:pStyle w:val="Style46"/>
              <w:widowControl w:val="false"/>
              <w:jc w:val="both"/>
              <w:rPr>
                <w:sz w:val="24"/>
                <w:szCs w:val="24"/>
              </w:rPr>
            </w:pPr>
            <w:r>
              <w:rPr>
                <w:rFonts w:ascii="Arimo" w:hAnsi="Arimo"/>
                <w:b w:val="false"/>
                <w:bCs w:val="false"/>
                <w:sz w:val="24"/>
                <w:szCs w:val="24"/>
              </w:rPr>
              <w:t>решением Совета муниципального</w:t>
            </w:r>
          </w:p>
          <w:p>
            <w:pPr>
              <w:pStyle w:val="Style46"/>
              <w:widowControl w:val="false"/>
              <w:jc w:val="both"/>
              <w:rPr>
                <w:sz w:val="24"/>
                <w:szCs w:val="24"/>
              </w:rPr>
            </w:pPr>
            <w:r>
              <w:rPr>
                <w:rFonts w:ascii="Arimo" w:hAnsi="Arimo"/>
                <w:b w:val="false"/>
                <w:bCs w:val="false"/>
                <w:sz w:val="24"/>
                <w:szCs w:val="24"/>
              </w:rPr>
              <w:t>образования «город Агрыз»</w:t>
            </w:r>
          </w:p>
          <w:p>
            <w:pPr>
              <w:pStyle w:val="Style46"/>
              <w:widowControl w:val="false"/>
              <w:jc w:val="both"/>
              <w:rPr>
                <w:sz w:val="24"/>
                <w:szCs w:val="24"/>
              </w:rPr>
            </w:pPr>
            <w:r>
              <w:rPr>
                <w:rFonts w:ascii="Arimo" w:hAnsi="Arimo"/>
                <w:b w:val="false"/>
                <w:bCs w:val="false"/>
                <w:sz w:val="24"/>
                <w:szCs w:val="24"/>
              </w:rPr>
              <w:t>Агрызского муниципального района</w:t>
            </w:r>
          </w:p>
          <w:p>
            <w:pPr>
              <w:pStyle w:val="Style46"/>
              <w:widowControl w:val="false"/>
              <w:jc w:val="both"/>
              <w:rPr>
                <w:sz w:val="24"/>
                <w:szCs w:val="24"/>
              </w:rPr>
            </w:pPr>
            <w:r>
              <w:rPr>
                <w:rFonts w:ascii="Arimo" w:hAnsi="Arimo"/>
                <w:b w:val="false"/>
                <w:bCs w:val="false"/>
                <w:sz w:val="24"/>
                <w:szCs w:val="24"/>
              </w:rPr>
              <w:t>Республики Татарстан</w:t>
            </w:r>
          </w:p>
          <w:p>
            <w:pPr>
              <w:pStyle w:val="Style46"/>
              <w:widowControl w:val="false"/>
              <w:jc w:val="both"/>
              <w:rPr>
                <w:rFonts w:ascii="Arimo" w:hAnsi="Arimo"/>
                <w:b w:val="false"/>
                <w:bCs w:val="false"/>
                <w:sz w:val="24"/>
                <w:szCs w:val="24"/>
              </w:rPr>
            </w:pPr>
            <w:r>
              <w:rPr>
                <w:rFonts w:ascii="Arimo" w:hAnsi="Arimo"/>
                <w:b w:val="false"/>
                <w:bCs w:val="false"/>
                <w:sz w:val="24"/>
                <w:szCs w:val="24"/>
              </w:rPr>
              <w:t>от 29.05.2025 № 43-3</w:t>
            </w:r>
          </w:p>
        </w:tc>
      </w:tr>
    </w:tbl>
    <w:p>
      <w:pPr>
        <w:pStyle w:val="Normal"/>
        <w:jc w:val="center"/>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8"/>
        <w:jc w:val="center"/>
        <w:rPr>
          <w:rFonts w:ascii="DejaVu Math TeX Gyre" w:hAnsi="DejaVu Math TeX Gyre" w:cs="DejaVu Math TeX Gyre"/>
          <w:sz w:val="28"/>
          <w:szCs w:val="28"/>
        </w:rPr>
      </w:pPr>
      <w:r>
        <w:rPr>
          <w:rFonts w:cs="DejaVu Math TeX Gyre" w:ascii="Arimo" w:hAnsi="Arimo"/>
          <w:b w:val="false"/>
          <w:bCs w:val="false"/>
          <w:sz w:val="24"/>
          <w:szCs w:val="24"/>
        </w:rPr>
        <w:t>П</w:t>
      </w:r>
      <w:r>
        <w:rPr>
          <w:rFonts w:eastAsia="Calibri" w:cs="DejaVu Math TeX Gyre" w:ascii="Arimo" w:hAnsi="Arimo"/>
          <w:b w:val="false"/>
          <w:bCs w:val="false"/>
          <w:sz w:val="24"/>
          <w:szCs w:val="24"/>
          <w:lang w:eastAsia="en-US"/>
        </w:rPr>
        <w:t xml:space="preserve">еречень индикаторов риска нарушения обязательных требований, проверяемых в рамках осуществления муниципального контроля </w:t>
      </w:r>
      <w:r>
        <w:rPr>
          <w:rFonts w:cs="DejaVu Math TeX Gyre" w:ascii="Arimo" w:hAnsi="Arimo"/>
          <w:b w:val="false"/>
          <w:bCs w:val="false"/>
          <w:sz w:val="24"/>
          <w:szCs w:val="24"/>
        </w:rPr>
        <w:t>в сфере благоустройства</w:t>
      </w:r>
    </w:p>
    <w:p>
      <w:pPr>
        <w:pStyle w:val="Normal"/>
        <w:ind w:left="0" w:right="0" w:firstLine="708"/>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1. Снижение на 50 и более процентов количества работников (но не менее чем на два работника) организации, к обязанностям которой отнесено выполнение работ по уборке объектов и элементов благоустройства, за квартал по сравнению с аналогичным периодом прошлого года при отсутствие увеличения количества уборочной и специальной техники, предназначенной для выполнения указанных работ, за аналогичный период времени.</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2. Увеличение на 15 и более процентов количества граждан, обратившихся за оказанием травматологической помощи в связи с получением травмы на территории обслуживания организации, к обязанностям  которой отнесено выполнение работ по уборке объектов и элементов благоустройства в течении двух календарных недель по сравнению с аналогичным предшествующим периодом времени.</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3. Наличие сведений о выявлении в течении 30 календарных дней трех и более аналогичных случаев отклонения состояния объектов контроля, требования к которому установлены Правилами благоустройства территории муниципального образования, свидетельствующих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которые поступили от граждан, организаций, органов государственной власти, органов местного самоуправления, получены из средств массовой информации, информационно-телекоммуникационной сети «Интернет» и (или) в результате проведения мероприятий, направленных на оценку достоверности поступивших сведений.</w:t>
      </w:r>
    </w:p>
    <w:p>
      <w:pPr>
        <w:pStyle w:val="Normal"/>
        <w:ind w:left="0" w:right="0" w:firstLine="709"/>
        <w:jc w:val="both"/>
        <w:rPr>
          <w:rFonts w:ascii="DejaVu Math TeX Gyre" w:hAnsi="DejaVu Math TeX Gyre" w:cs="DejaVu Math TeX Gyre"/>
          <w:bCs/>
          <w:sz w:val="28"/>
          <w:szCs w:val="28"/>
        </w:rPr>
      </w:pPr>
      <w:r>
        <w:rPr>
          <w:rFonts w:cs="DejaVu Math TeX Gyre" w:ascii="Arimo" w:hAnsi="Arimo"/>
          <w:b w:val="false"/>
          <w:bCs w:val="false"/>
          <w:sz w:val="24"/>
          <w:szCs w:val="24"/>
        </w:rPr>
        <w:t>4.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требований в сфере благоустройства, вынесенных в отношении контролируемого лица.</w:t>
      </w:r>
    </w:p>
    <w:p>
      <w:pPr>
        <w:pStyle w:val="Normal"/>
        <w:ind w:left="0" w:right="0" w:firstLine="709"/>
        <w:jc w:val="both"/>
        <w:rPr>
          <w:rFonts w:ascii="DejaVu Math TeX Gyre" w:hAnsi="DejaVu Math TeX Gyre" w:cs="DejaVu Math TeX Gyre"/>
          <w:sz w:val="28"/>
          <w:szCs w:val="28"/>
        </w:rPr>
      </w:pPr>
      <w:r>
        <w:rPr>
          <w:rFonts w:cs="DejaVu Math TeX Gyre" w:ascii="Arimo" w:hAnsi="Arimo"/>
          <w:b w:val="false"/>
          <w:bCs w:val="false"/>
          <w:sz w:val="24"/>
          <w:szCs w:val="24"/>
        </w:rPr>
        <w:t>5. Увеличение на 15 и более процентов количества граждан, обратившихся за оказанием травматологической помощи в связи с получением травмы на территории одной административно-территориальной единицы населенного пункта (улицы, микрорайона), в течении двух календарных недель по сравнению с аналогичным предшествующим периодом времени.</w:t>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ind w:left="0" w:right="0" w:firstLine="709"/>
        <w:jc w:val="both"/>
        <w:rPr>
          <w:rFonts w:ascii="Arimo" w:hAnsi="Arimo" w:cs="DejaVu Math TeX Gyre"/>
          <w:b w:val="false"/>
          <w:bCs w:val="false"/>
          <w:sz w:val="24"/>
          <w:szCs w:val="24"/>
        </w:rPr>
      </w:pPr>
      <w:r>
        <w:rPr>
          <w:rFonts w:cs="DejaVu Math TeX Gyre" w:ascii="Arimo" w:hAnsi="Arimo"/>
          <w:b w:val="false"/>
          <w:bCs w:val="false"/>
          <w:sz w:val="24"/>
          <w:szCs w:val="24"/>
        </w:rPr>
      </w:r>
    </w:p>
    <w:tbl>
      <w:tblPr>
        <w:tblW w:w="5000" w:type="pct"/>
        <w:jc w:val="left"/>
        <w:tblInd w:w="0" w:type="dxa"/>
        <w:tblLayout w:type="fixed"/>
        <w:tblCellMar>
          <w:top w:w="0" w:type="dxa"/>
          <w:left w:w="0" w:type="dxa"/>
          <w:bottom w:w="0" w:type="dxa"/>
          <w:right w:w="0" w:type="dxa"/>
        </w:tblCellMar>
      </w:tblPr>
      <w:tblGrid>
        <w:gridCol w:w="5951"/>
        <w:gridCol w:w="4141"/>
      </w:tblGrid>
      <w:tr>
        <w:trPr/>
        <w:tc>
          <w:tcPr>
            <w:tcW w:w="5951" w:type="dxa"/>
            <w:tcBorders/>
          </w:tcPr>
          <w:p>
            <w:pPr>
              <w:pStyle w:val="Style46"/>
              <w:widowControl w:val="false"/>
              <w:snapToGrid w:val="false"/>
              <w:jc w:val="center"/>
              <w:rPr>
                <w:rFonts w:ascii="Arimo" w:hAnsi="Arimo"/>
                <w:b w:val="false"/>
                <w:bCs w:val="false"/>
                <w:sz w:val="24"/>
                <w:szCs w:val="24"/>
              </w:rPr>
            </w:pPr>
            <w:r>
              <w:rPr>
                <w:rFonts w:ascii="Arimo" w:hAnsi="Arimo"/>
                <w:b w:val="false"/>
                <w:bCs w:val="false"/>
                <w:sz w:val="24"/>
                <w:szCs w:val="24"/>
              </w:rPr>
            </w:r>
          </w:p>
        </w:tc>
        <w:tc>
          <w:tcPr>
            <w:tcW w:w="4141" w:type="dxa"/>
            <w:tcBorders/>
          </w:tcPr>
          <w:p>
            <w:pPr>
              <w:pStyle w:val="Style46"/>
              <w:widowControl w:val="false"/>
              <w:jc w:val="both"/>
              <w:rPr>
                <w:sz w:val="24"/>
                <w:szCs w:val="24"/>
              </w:rPr>
            </w:pPr>
            <w:r>
              <w:rPr>
                <w:rFonts w:ascii="Arimo" w:hAnsi="Arimo"/>
                <w:b w:val="false"/>
                <w:bCs w:val="false"/>
                <w:sz w:val="24"/>
                <w:szCs w:val="24"/>
              </w:rPr>
              <w:t>Утверждено</w:t>
            </w:r>
          </w:p>
          <w:p>
            <w:pPr>
              <w:pStyle w:val="Style46"/>
              <w:widowControl w:val="false"/>
              <w:jc w:val="both"/>
              <w:rPr>
                <w:sz w:val="24"/>
                <w:szCs w:val="24"/>
              </w:rPr>
            </w:pPr>
            <w:r>
              <w:rPr>
                <w:rFonts w:ascii="Arimo" w:hAnsi="Arimo"/>
                <w:b w:val="false"/>
                <w:bCs w:val="false"/>
                <w:sz w:val="24"/>
                <w:szCs w:val="24"/>
              </w:rPr>
              <w:t>решением Совета муниципального</w:t>
            </w:r>
          </w:p>
          <w:p>
            <w:pPr>
              <w:pStyle w:val="Style46"/>
              <w:widowControl w:val="false"/>
              <w:jc w:val="both"/>
              <w:rPr>
                <w:sz w:val="24"/>
                <w:szCs w:val="24"/>
              </w:rPr>
            </w:pPr>
            <w:r>
              <w:rPr>
                <w:rFonts w:ascii="Arimo" w:hAnsi="Arimo"/>
                <w:b w:val="false"/>
                <w:bCs w:val="false"/>
                <w:sz w:val="24"/>
                <w:szCs w:val="24"/>
              </w:rPr>
              <w:t>образования «город Агрыз»</w:t>
            </w:r>
          </w:p>
          <w:p>
            <w:pPr>
              <w:pStyle w:val="Style46"/>
              <w:widowControl w:val="false"/>
              <w:jc w:val="both"/>
              <w:rPr>
                <w:sz w:val="24"/>
                <w:szCs w:val="24"/>
              </w:rPr>
            </w:pPr>
            <w:r>
              <w:rPr>
                <w:rFonts w:ascii="Arimo" w:hAnsi="Arimo"/>
                <w:b w:val="false"/>
                <w:bCs w:val="false"/>
                <w:sz w:val="24"/>
                <w:szCs w:val="24"/>
              </w:rPr>
              <w:t>Агрызского муниципального района</w:t>
            </w:r>
          </w:p>
          <w:p>
            <w:pPr>
              <w:pStyle w:val="Style46"/>
              <w:widowControl w:val="false"/>
              <w:jc w:val="both"/>
              <w:rPr>
                <w:sz w:val="24"/>
                <w:szCs w:val="24"/>
              </w:rPr>
            </w:pPr>
            <w:r>
              <w:rPr>
                <w:rFonts w:ascii="Arimo" w:hAnsi="Arimo"/>
                <w:b w:val="false"/>
                <w:bCs w:val="false"/>
                <w:sz w:val="24"/>
                <w:szCs w:val="24"/>
              </w:rPr>
              <w:t>Республики Татарстан</w:t>
            </w:r>
          </w:p>
          <w:p>
            <w:pPr>
              <w:pStyle w:val="Style46"/>
              <w:widowControl w:val="false"/>
              <w:jc w:val="both"/>
              <w:rPr>
                <w:rFonts w:ascii="Arimo" w:hAnsi="Arimo"/>
                <w:b w:val="false"/>
                <w:bCs w:val="false"/>
                <w:sz w:val="24"/>
                <w:szCs w:val="24"/>
              </w:rPr>
            </w:pPr>
            <w:r>
              <w:rPr>
                <w:rFonts w:ascii="Arimo" w:hAnsi="Arimo"/>
                <w:b w:val="false"/>
                <w:bCs w:val="false"/>
                <w:sz w:val="24"/>
                <w:szCs w:val="24"/>
              </w:rPr>
              <w:t>от 29.05.2025 № 43-3</w:t>
            </w:r>
          </w:p>
        </w:tc>
      </w:tr>
    </w:tbl>
    <w:p>
      <w:pPr>
        <w:pStyle w:val="Normal"/>
        <w:widowControl/>
        <w:ind w:left="-567" w:right="0" w:firstLine="425"/>
        <w:jc w:val="right"/>
        <w:rPr>
          <w:rFonts w:ascii="Arimo" w:hAnsi="Arimo" w:cs="DejaVu Math TeX Gyre"/>
          <w:b w:val="false"/>
          <w:bCs w:val="false"/>
          <w:sz w:val="24"/>
          <w:szCs w:val="24"/>
        </w:rPr>
      </w:pPr>
      <w:r>
        <w:rPr>
          <w:rFonts w:cs="DejaVu Math TeX Gyre" w:ascii="Arimo" w:hAnsi="Arimo"/>
          <w:b w:val="false"/>
          <w:bCs w:val="false"/>
          <w:sz w:val="24"/>
          <w:szCs w:val="24"/>
        </w:rPr>
      </w:r>
    </w:p>
    <w:p>
      <w:pPr>
        <w:pStyle w:val="Style27"/>
        <w:spacing w:lineRule="auto" w:line="240"/>
        <w:jc w:val="center"/>
        <w:rPr>
          <w:rFonts w:ascii="DejaVu Math TeX Gyre" w:hAnsi="DejaVu Math TeX Gyre" w:cs="DejaVu Math TeX Gyre"/>
          <w:sz w:val="28"/>
          <w:szCs w:val="28"/>
        </w:rPr>
      </w:pPr>
      <w:r>
        <w:rPr>
          <w:rFonts w:cs="DejaVu Math TeX Gyre" w:ascii="Arimo" w:hAnsi="Arimo"/>
          <w:b w:val="false"/>
          <w:bCs w:val="false"/>
          <w:sz w:val="24"/>
          <w:szCs w:val="24"/>
        </w:rPr>
        <w:t>Ключевые показатели для муниципального контроля в сфере благоустройства, его целевые значения и индикативные показатели для муниципального контроля в сфере благоустройства</w:t>
      </w:r>
    </w:p>
    <w:p>
      <w:pPr>
        <w:pStyle w:val="Normal"/>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numPr>
          <w:ilvl w:val="0"/>
          <w:numId w:val="4"/>
        </w:numPr>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Ключевые показатели и их целевые значения: </w:t>
      </w:r>
    </w:p>
    <w:p>
      <w:pPr>
        <w:pStyle w:val="Normal"/>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Доля устраненных нарушений из числа выявленных нарушений обязательных требований - 70%. </w:t>
      </w:r>
    </w:p>
    <w:p>
      <w:pPr>
        <w:pStyle w:val="Normal"/>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Доля обоснованных жалоб на действия (бездействие) контрольного органа и (или) его должностного лица при проведении контрольных мероприятий - 0%. </w:t>
      </w:r>
    </w:p>
    <w:p>
      <w:pPr>
        <w:pStyle w:val="Normal"/>
        <w:jc w:val="both"/>
        <w:rPr>
          <w:rFonts w:ascii="DejaVu Math TeX Gyre" w:hAnsi="DejaVu Math TeX Gyre" w:cs="DejaVu Math TeX Gyre"/>
          <w:sz w:val="28"/>
          <w:szCs w:val="28"/>
        </w:rPr>
      </w:pPr>
      <w:r>
        <w:rPr>
          <w:rFonts w:cs="DejaVu Math TeX Gyre" w:ascii="Arimo" w:hAnsi="Arimo"/>
          <w:b w:val="false"/>
          <w:bCs w:val="false"/>
          <w:sz w:val="24"/>
          <w:szCs w:val="24"/>
        </w:rPr>
        <w:t xml:space="preserve">Доля отмененных результатов контрольных мероприятий - 0%. </w:t>
      </w:r>
    </w:p>
    <w:p>
      <w:pPr>
        <w:pStyle w:val="Normal"/>
        <w:jc w:val="both"/>
        <w:rPr>
          <w:rStyle w:val="SubtleEmphasis"/>
          <w:rFonts w:ascii="DejaVu Math TeX Gyre" w:hAnsi="DejaVu Math TeX Gyre" w:cs="DejaVu Math TeX Gyre"/>
          <w:i w:val="false"/>
          <w:i w:val="false"/>
          <w:color w:val="auto"/>
          <w:sz w:val="28"/>
          <w:szCs w:val="28"/>
        </w:rPr>
      </w:pPr>
      <w:r>
        <w:rPr>
          <w:rFonts w:cs="DejaVu Math TeX Gyre" w:ascii="Arimo" w:hAnsi="Arimo"/>
          <w:b w:val="false"/>
          <w:bCs w:val="false"/>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Style27"/>
        <w:spacing w:lineRule="auto" w:line="240"/>
        <w:jc w:val="both"/>
        <w:rPr/>
      </w:pPr>
      <w:r>
        <w:rPr>
          <w:rStyle w:val="SubtleEmphasis"/>
          <w:rFonts w:cs="DejaVu Math TeX Gyre" w:ascii="Arimo" w:hAnsi="Arimo"/>
          <w:b w:val="false"/>
          <w:bCs w:val="false"/>
          <w:i w:val="false"/>
          <w:color w:val="auto"/>
          <w:sz w:val="24"/>
          <w:szCs w:val="24"/>
        </w:rPr>
        <w:t>Доля вынесенных судебных решений о назначении административного наказания по материалам контрольного органа – 95%</w:t>
      </w:r>
      <w:r>
        <w:rPr>
          <w:rFonts w:cs="DejaVu Math TeX Gyre" w:ascii="Arimo" w:hAnsi="Arimo"/>
          <w:b w:val="false"/>
          <w:bCs w:val="false"/>
          <w:sz w:val="24"/>
          <w:szCs w:val="24"/>
        </w:rPr>
        <w:t> </w:t>
      </w:r>
    </w:p>
    <w:p>
      <w:pPr>
        <w:pStyle w:val="Style27"/>
        <w:spacing w:lineRule="auto" w:line="240"/>
        <w:jc w:val="both"/>
        <w:rPr>
          <w:rFonts w:ascii="Arimo" w:hAnsi="Arimo"/>
          <w:b w:val="false"/>
          <w:bCs w:val="false"/>
          <w:sz w:val="24"/>
          <w:szCs w:val="24"/>
        </w:rPr>
      </w:pPr>
      <w:r>
        <w:rPr>
          <w:rFonts w:ascii="Arimo" w:hAnsi="Arimo"/>
          <w:b w:val="false"/>
          <w:bCs w:val="false"/>
          <w:sz w:val="24"/>
          <w:szCs w:val="24"/>
        </w:rPr>
      </w:r>
    </w:p>
    <w:p>
      <w:pPr>
        <w:pStyle w:val="Normal"/>
        <w:spacing w:before="0" w:after="0"/>
        <w:contextualSpacing/>
        <w:jc w:val="center"/>
        <w:rPr>
          <w:rFonts w:ascii="DejaVu Math TeX Gyre" w:hAnsi="DejaVu Math TeX Gyre" w:cs="DejaVu Math TeX Gyre"/>
          <w:sz w:val="28"/>
          <w:szCs w:val="28"/>
        </w:rPr>
      </w:pPr>
      <w:r>
        <w:rPr>
          <w:rFonts w:eastAsia="DejaVu Math TeX Gyre" w:cs="DejaVu Math TeX Gyre" w:ascii="Arimo" w:hAnsi="Arimo"/>
          <w:b w:val="false"/>
          <w:bCs w:val="false"/>
          <w:sz w:val="24"/>
          <w:szCs w:val="24"/>
        </w:rPr>
        <w:t xml:space="preserve">  </w:t>
      </w:r>
      <w:r>
        <w:rPr>
          <w:rFonts w:cs="DejaVu Math TeX Gyre" w:ascii="Arimo" w:hAnsi="Arimo"/>
          <w:b w:val="false"/>
          <w:bCs w:val="false"/>
          <w:sz w:val="24"/>
          <w:szCs w:val="24"/>
        </w:rPr>
        <w:t>2. Перечень индикативных показателей муниципального контроля (надзора) в сфере благоустройства</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плановых контрольных (надзорных) мероприятий, проведенных за отчетный период;</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внеплановых контрольных (надзорных) мероприятий, проведенных за отчетный период;</w:t>
      </w:r>
    </w:p>
    <w:p>
      <w:pPr>
        <w:pStyle w:val="Style32"/>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общее количество контрольных (надзорных) мероприятий </w:t>
        <w:br/>
        <w:t>с взаимодействием, проведенных за отчетный период;</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контрольных (надзорных) мероприятий с взаимодействием по каждому виду КНМ, проведенных за отчетный период;</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контрольных (надзорных) мероприятий, проведенных </w:t>
        <w:br/>
        <w:t>с использованием средств дистанционного взаимодействия, за отчетный период;</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обязательных профилактических визитов, проведенных </w:t>
        <w:br/>
        <w:t>за отчетный период;</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предостережений о недопустимости нарушения обязательных требований, объявленных за отчетный период;</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сумма административных штрафов, наложенных по результатам контрольных (надзорных) мероприятий, за отчетный период; </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общее количество учтенных объектов контроля на конец отчетного периода;</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учтенных контролируемых лиц на конец отчетного периода;</w:t>
      </w:r>
    </w:p>
    <w:p>
      <w:pPr>
        <w:pStyle w:val="Default"/>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количество учтенных контролируемых лиц, в отношении которых проведены контрольные (надзорные) мероприятия, за отчетный период; </w:t>
      </w:r>
    </w:p>
    <w:p>
      <w:pPr>
        <w:pStyle w:val="Style32"/>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 xml:space="preserve">общее количество жалоб, поданных контролируемыми лицами </w:t>
        <w:br/>
        <w:t>в досудебном порядке за отчетный период;</w:t>
      </w:r>
    </w:p>
    <w:p>
      <w:pPr>
        <w:pStyle w:val="Style32"/>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жалоб, в отношении которых контрольным (надзорным) органом был нарушен срок рассмотрения, за отчетный период;</w:t>
      </w:r>
    </w:p>
    <w:p>
      <w:pPr>
        <w:pStyle w:val="Style32"/>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pPr>
        <w:pStyle w:val="Style32"/>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Style32"/>
        <w:numPr>
          <w:ilvl w:val="0"/>
          <w:numId w:val="3"/>
        </w:numPr>
        <w:spacing w:lineRule="auto" w:line="240" w:before="0" w:after="0"/>
        <w:ind w:left="0" w:right="0" w:firstLine="709"/>
        <w:contextualSpacing/>
        <w:jc w:val="both"/>
        <w:rPr>
          <w:rFonts w:ascii="Arimo" w:hAnsi="Arimo" w:cs="DejaVu Math TeX Gyre"/>
          <w:b w:val="false"/>
          <w:bCs w:val="false"/>
          <w:sz w:val="24"/>
          <w:szCs w:val="24"/>
        </w:rPr>
      </w:pPr>
      <w:r>
        <w:rPr>
          <w:rFonts w:cs="DejaVu Math TeX Gyre" w:ascii="Arimo" w:hAnsi="Arimo"/>
          <w:b w:val="false"/>
          <w:bCs w:val="false"/>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Style32"/>
        <w:numPr>
          <w:ilvl w:val="0"/>
          <w:numId w:val="3"/>
        </w:numPr>
        <w:spacing w:lineRule="auto" w:line="240" w:before="0" w:after="0"/>
        <w:ind w:left="0" w:right="0" w:firstLine="709"/>
        <w:contextualSpacing/>
        <w:jc w:val="both"/>
        <w:rPr>
          <w:rFonts w:ascii="Arimo" w:hAnsi="Arimo" w:cs="DejaVu Math TeX Gyre"/>
          <w:b w:val="false"/>
          <w:bCs w:val="false"/>
          <w:color w:val="000000"/>
          <w:sz w:val="24"/>
          <w:szCs w:val="24"/>
        </w:rPr>
      </w:pPr>
      <w:r>
        <w:rPr>
          <w:rFonts w:cs="DejaVu Math TeX Gyre" w:ascii="Arimo" w:hAnsi="Arimo"/>
          <w:b w:val="false"/>
          <w:bCs w:val="false"/>
          <w:color w:val="000000"/>
          <w:sz w:val="24"/>
          <w:szCs w:val="24"/>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Normal"/>
        <w:spacing w:lineRule="auto" w:line="360"/>
        <w:ind w:left="426"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spacing w:lineRule="auto" w:line="360"/>
        <w:ind w:left="426"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p>
      <w:pPr>
        <w:pStyle w:val="Normal"/>
        <w:spacing w:lineRule="auto" w:line="360"/>
        <w:ind w:left="426" w:right="0" w:hanging="0"/>
        <w:jc w:val="both"/>
        <w:rPr>
          <w:rFonts w:ascii="Arimo" w:hAnsi="Arimo" w:cs="DejaVu Math TeX Gyre"/>
          <w:b w:val="false"/>
          <w:bCs w:val="false"/>
          <w:sz w:val="24"/>
          <w:szCs w:val="24"/>
        </w:rPr>
      </w:pPr>
      <w:r>
        <w:rPr>
          <w:rFonts w:cs="DejaVu Math TeX Gyre" w:ascii="Arimo" w:hAnsi="Arimo"/>
          <w:b w:val="false"/>
          <w:bCs w:val="false"/>
          <w:sz w:val="24"/>
          <w:szCs w:val="24"/>
        </w:rPr>
      </w:r>
    </w:p>
    <w:sectPr>
      <w:type w:val="nextPage"/>
      <w:pgSz w:w="11906" w:h="16838"/>
      <w:pgMar w:left="1276" w:right="53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Light">
    <w:charset w:val="01"/>
    <w:family w:val="roman"/>
    <w:pitch w:val="default"/>
  </w:font>
  <w:font w:name="Calibri">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Arial">
    <w:charset w:val="01"/>
    <w:family w:val="roman"/>
    <w:pitch w:val="default"/>
  </w:font>
  <w:font w:name="Verdana">
    <w:charset w:val="01"/>
    <w:family w:val="roman"/>
    <w:pitch w:val="default"/>
  </w:font>
  <w:font w:name="Arimo">
    <w:altName w:val="arial"/>
    <w:charset w:val="01"/>
    <w:family w:val="roman"/>
    <w:pitch w:val="default"/>
  </w:font>
  <w:font w:name="DejaVu Math TeX Gyre">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color w:val="000000"/>
      </w:rPr>
    </w:lvl>
    <w:lvl w:ilvl="2">
      <w:start w:val="1"/>
      <w:numFmt w:val="lowerRoman"/>
      <w:lvlText w:val="%3."/>
      <w:lvlJc w:val="right"/>
      <w:pPr>
        <w:tabs>
          <w:tab w:val="num" w:pos="0"/>
        </w:tabs>
        <w:ind w:left="2367" w:hanging="180"/>
      </w:pPr>
      <w:rPr>
        <w:color w:val="000000"/>
      </w:rPr>
    </w:lvl>
    <w:lvl w:ilvl="3">
      <w:start w:val="1"/>
      <w:numFmt w:val="decimal"/>
      <w:lvlText w:val="%4."/>
      <w:lvlJc w:val="left"/>
      <w:pPr>
        <w:tabs>
          <w:tab w:val="num" w:pos="0"/>
        </w:tabs>
        <w:ind w:left="3087" w:hanging="360"/>
      </w:pPr>
      <w:rPr>
        <w:color w:val="000000"/>
      </w:rPr>
    </w:lvl>
    <w:lvl w:ilvl="4">
      <w:start w:val="1"/>
      <w:numFmt w:val="lowerLetter"/>
      <w:lvlText w:val="%5."/>
      <w:lvlJc w:val="left"/>
      <w:pPr>
        <w:tabs>
          <w:tab w:val="num" w:pos="0"/>
        </w:tabs>
        <w:ind w:left="3807" w:hanging="360"/>
      </w:pPr>
      <w:rPr>
        <w:color w:val="000000"/>
      </w:rPr>
    </w:lvl>
    <w:lvl w:ilvl="5">
      <w:start w:val="1"/>
      <w:numFmt w:val="lowerRoman"/>
      <w:lvlText w:val="%6."/>
      <w:lvlJc w:val="right"/>
      <w:pPr>
        <w:tabs>
          <w:tab w:val="num" w:pos="0"/>
        </w:tabs>
        <w:ind w:left="4527" w:hanging="180"/>
      </w:pPr>
      <w:rPr>
        <w:color w:val="000000"/>
      </w:rPr>
    </w:lvl>
    <w:lvl w:ilvl="6">
      <w:start w:val="1"/>
      <w:numFmt w:val="decimal"/>
      <w:lvlText w:val="%7."/>
      <w:lvlJc w:val="left"/>
      <w:pPr>
        <w:tabs>
          <w:tab w:val="num" w:pos="0"/>
        </w:tabs>
        <w:ind w:left="5247" w:hanging="360"/>
      </w:pPr>
      <w:rPr>
        <w:color w:val="000000"/>
      </w:rPr>
    </w:lvl>
    <w:lvl w:ilvl="7">
      <w:start w:val="1"/>
      <w:numFmt w:val="lowerLetter"/>
      <w:lvlText w:val="%8."/>
      <w:lvlJc w:val="left"/>
      <w:pPr>
        <w:tabs>
          <w:tab w:val="num" w:pos="0"/>
        </w:tabs>
        <w:ind w:left="5967" w:hanging="360"/>
      </w:pPr>
      <w:rPr>
        <w:color w:val="000000"/>
      </w:rPr>
    </w:lvl>
    <w:lvl w:ilvl="8">
      <w:start w:val="1"/>
      <w:numFmt w:val="lowerRoman"/>
      <w:lvlText w:val="%9."/>
      <w:lvlJc w:val="right"/>
      <w:pPr>
        <w:tabs>
          <w:tab w:val="num" w:pos="0"/>
        </w:tabs>
        <w:ind w:left="6687" w:hanging="180"/>
      </w:pPr>
      <w:rPr>
        <w:color w:val="000000"/>
      </w:rPr>
    </w:lvl>
  </w:abstractNum>
  <w:abstractNum w:abstractNumId="3">
    <w:lvl w:ilvl="0">
      <w:start w:val="1"/>
      <w:numFmt w:val="decimal"/>
      <w:suff w:val="space"/>
      <w:lvlText w:val="%1)"/>
      <w:lvlJc w:val="left"/>
      <w:pPr>
        <w:tabs>
          <w:tab w:val="num" w:pos="0"/>
        </w:tabs>
        <w:ind w:left="1405" w:hanging="555"/>
      </w:pPr>
      <w:rPr>
        <w:sz w:val="28"/>
        <w:szCs w:val="28"/>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7"/>
  <w:displayBackgroundShape/>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numPr>
        <w:ilvl w:val="0"/>
        <w:numId w:val="1"/>
      </w:numPr>
      <w:ind w:left="6237" w:right="0" w:hanging="0"/>
      <w:outlineLvl w:val="0"/>
    </w:pPr>
    <w:rPr>
      <w:sz w:val="28"/>
    </w:rPr>
  </w:style>
  <w:style w:type="paragraph" w:styleId="2">
    <w:name w:val="Heading 2"/>
    <w:basedOn w:val="Normal"/>
    <w:next w:val="Normal"/>
    <w:qFormat/>
    <w:pPr>
      <w:keepNext w:val="true"/>
      <w:numPr>
        <w:ilvl w:val="1"/>
        <w:numId w:val="1"/>
      </w:numPr>
      <w:jc w:val="center"/>
      <w:outlineLvl w:val="1"/>
    </w:pPr>
    <w:rPr>
      <w:sz w:val="28"/>
      <w:szCs w:val="24"/>
    </w:rPr>
  </w:style>
  <w:style w:type="paragraph" w:styleId="3">
    <w:name w:val="Heading 3"/>
    <w:basedOn w:val="Normal"/>
    <w:next w:val="Normal"/>
    <w:qFormat/>
    <w:pPr>
      <w:keepNext w:val="true"/>
      <w:keepLines/>
      <w:numPr>
        <w:ilvl w:val="2"/>
        <w:numId w:val="1"/>
      </w:numPr>
      <w:spacing w:before="160" w:after="0"/>
      <w:outlineLvl w:val="2"/>
    </w:pPr>
    <w:rPr>
      <w:rFonts w:ascii="Calibri Light" w:hAnsi="Calibri Light" w:eastAsia="SimSun;宋体" w:cs="Calibri Light"/>
      <w:sz w:val="32"/>
      <w:szCs w:val="32"/>
    </w:rPr>
  </w:style>
  <w:style w:type="paragraph" w:styleId="4">
    <w:name w:val="Heading 4"/>
    <w:basedOn w:val="Normal"/>
    <w:next w:val="Normal"/>
    <w:qFormat/>
    <w:pPr>
      <w:keepNext w:val="true"/>
      <w:keepLines/>
      <w:numPr>
        <w:ilvl w:val="3"/>
        <w:numId w:val="1"/>
      </w:numPr>
      <w:spacing w:lineRule="auto" w:line="300" w:before="80" w:after="0"/>
      <w:outlineLvl w:val="3"/>
    </w:pPr>
    <w:rPr>
      <w:rFonts w:ascii="Calibri Light" w:hAnsi="Calibri Light" w:eastAsia="SimSun;宋体" w:cs="Calibri Light"/>
      <w:i/>
      <w:iCs/>
      <w:sz w:val="30"/>
      <w:szCs w:val="30"/>
    </w:rPr>
  </w:style>
  <w:style w:type="paragraph" w:styleId="5">
    <w:name w:val="Heading 5"/>
    <w:basedOn w:val="Normal"/>
    <w:next w:val="Normal"/>
    <w:qFormat/>
    <w:pPr>
      <w:keepNext w:val="true"/>
      <w:keepLines/>
      <w:numPr>
        <w:ilvl w:val="4"/>
        <w:numId w:val="1"/>
      </w:numPr>
      <w:spacing w:lineRule="auto" w:line="300" w:before="40" w:after="0"/>
      <w:outlineLvl w:val="4"/>
    </w:pPr>
    <w:rPr>
      <w:rFonts w:ascii="Calibri Light" w:hAnsi="Calibri Light" w:eastAsia="SimSun;宋体" w:cs="Calibri Light"/>
      <w:sz w:val="28"/>
      <w:szCs w:val="28"/>
    </w:rPr>
  </w:style>
  <w:style w:type="paragraph" w:styleId="6">
    <w:name w:val="Heading 6"/>
    <w:basedOn w:val="Normal"/>
    <w:next w:val="Normal"/>
    <w:qFormat/>
    <w:pPr>
      <w:numPr>
        <w:ilvl w:val="5"/>
        <w:numId w:val="1"/>
      </w:numPr>
      <w:spacing w:before="240" w:after="60"/>
      <w:outlineLvl w:val="5"/>
    </w:pPr>
    <w:rPr>
      <w:rFonts w:ascii="Calibri" w:hAnsi="Calibri" w:eastAsia="Times New Roman" w:cs="Times New Roman"/>
      <w:b/>
      <w:bCs/>
      <w:sz w:val="22"/>
      <w:szCs w:val="22"/>
    </w:rPr>
  </w:style>
  <w:style w:type="paragraph" w:styleId="7">
    <w:name w:val="Heading 7"/>
    <w:basedOn w:val="Normal"/>
    <w:next w:val="Normal"/>
    <w:qFormat/>
    <w:pPr>
      <w:keepNext w:val="true"/>
      <w:widowControl w:val="false"/>
      <w:numPr>
        <w:ilvl w:val="6"/>
        <w:numId w:val="1"/>
      </w:numPr>
      <w:tabs>
        <w:tab w:val="clear" w:pos="708"/>
        <w:tab w:val="left" w:pos="5670" w:leader="none"/>
      </w:tabs>
      <w:ind w:left="0" w:right="0" w:firstLine="5580"/>
      <w:jc w:val="right"/>
      <w:outlineLvl w:val="6"/>
    </w:pPr>
    <w:rPr>
      <w:sz w:val="28"/>
      <w:szCs w:val="22"/>
    </w:rPr>
  </w:style>
  <w:style w:type="paragraph" w:styleId="8">
    <w:name w:val="Heading 8"/>
    <w:basedOn w:val="Normal"/>
    <w:next w:val="Normal"/>
    <w:qFormat/>
    <w:pPr>
      <w:numPr>
        <w:ilvl w:val="7"/>
        <w:numId w:val="1"/>
      </w:numPr>
      <w:spacing w:before="240" w:after="60"/>
      <w:outlineLvl w:val="7"/>
    </w:pPr>
    <w:rPr>
      <w:i/>
      <w:iCs/>
      <w:sz w:val="24"/>
      <w:szCs w:val="24"/>
    </w:rPr>
  </w:style>
  <w:style w:type="paragraph" w:styleId="9">
    <w:name w:val="Heading 9"/>
    <w:basedOn w:val="Normal"/>
    <w:next w:val="Normal"/>
    <w:qFormat/>
    <w:pPr>
      <w:keepNext w:val="true"/>
      <w:widowControl w:val="false"/>
      <w:numPr>
        <w:ilvl w:val="8"/>
        <w:numId w:val="1"/>
      </w:numPr>
      <w:jc w:val="both"/>
      <w:outlineLvl w:val="8"/>
    </w:pPr>
    <w:rPr>
      <w:b/>
      <w:sz w:val="24"/>
      <w:szCs w:val="28"/>
    </w:rPr>
  </w:style>
  <w:style w:type="character" w:styleId="WW8Num2z1">
    <w:name w:val="WW8Num2z1"/>
    <w:qFormat/>
    <w:rPr>
      <w:color w:val="000000"/>
    </w:rPr>
  </w:style>
  <w:style w:type="character" w:styleId="WW8Num3z0">
    <w:name w:val="WW8Num3z0"/>
    <w:qFormat/>
    <w:rPr>
      <w:rFonts w:ascii="Times New Roman" w:hAnsi="Times New Roman" w:cs="Times New Roman"/>
      <w:sz w:val="28"/>
      <w:szCs w:val="28"/>
    </w:rPr>
  </w:style>
  <w:style w:type="character" w:styleId="WW8Num2z0">
    <w:name w:val="WW8Num2z0"/>
    <w:qFormat/>
    <w:rPr>
      <w:rFonts w:ascii="Times New Roman" w:hAnsi="Times New Roman" w:cs="Times New Roman"/>
      <w:w w:val="99"/>
      <w:sz w:val="27"/>
      <w:szCs w:val="27"/>
      <w:lang w:val="ru-RU" w:bidi="ar-SA"/>
    </w:rPr>
  </w:style>
  <w:style w:type="character" w:styleId="WW8Num1z0">
    <w:name w:val="WW8Num1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w w:val="99"/>
      <w:sz w:val="27"/>
      <w:szCs w:val="27"/>
      <w:lang w:val="ru-RU" w:bidi="ar-SA"/>
    </w:rPr>
  </w:style>
  <w:style w:type="character" w:styleId="WW8Num9z1">
    <w:name w:val="WW8Num9z1"/>
    <w:qFormat/>
    <w:rPr>
      <w:lang w:val="ru-RU" w:bidi="ar-SA"/>
    </w:rPr>
  </w:style>
  <w:style w:type="character" w:styleId="WW8Num10z0">
    <w:name w:val="WW8Num10z0"/>
    <w:qFormat/>
    <w:rPr>
      <w:b w:val="false"/>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z w:val="26"/>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cs="Times New Roman"/>
    </w:rPr>
  </w:style>
  <w:style w:type="character" w:styleId="WW8Num28z1">
    <w:name w:val="WW8Num28z1"/>
    <w:qFormat/>
    <w:rPr>
      <w:rFonts w:cs="Times New Roman"/>
    </w:rPr>
  </w:style>
  <w:style w:type="character" w:styleId="WW8Num29z0">
    <w:name w:val="WW8Num29z0"/>
    <w:qFormat/>
    <w:rPr>
      <w:color w:val="00000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8z1">
    <w:name w:val="WW8Num38z1"/>
    <w:qFormat/>
    <w:rPr/>
  </w:style>
  <w:style w:type="character" w:styleId="WW8Num39z1">
    <w:name w:val="WW8Num39z1"/>
    <w:qFormat/>
    <w:rPr>
      <w:rFonts w:ascii="Symbol" w:hAnsi="Symbol" w:cs="Symbol"/>
    </w:rPr>
  </w:style>
  <w:style w:type="character" w:styleId="WW8Num42z0">
    <w:name w:val="WW8Num42z0"/>
    <w:qFormat/>
    <w:rPr/>
  </w:style>
  <w:style w:type="character" w:styleId="WW8Num44z0">
    <w:name w:val="WW8Num44z0"/>
    <w:qFormat/>
    <w:rPr/>
  </w:style>
  <w:style w:type="character" w:styleId="WW8Num44z1">
    <w:name w:val="WW8Num44z1"/>
    <w:qFormat/>
    <w:rPr>
      <w:rFonts w:ascii="Times New Roman" w:hAnsi="Times New Roman" w:cs="Times New Roman"/>
      <w:color w:val="000000"/>
      <w:sz w:val="28"/>
      <w:szCs w:val="28"/>
    </w:rPr>
  </w:style>
  <w:style w:type="character" w:styleId="WW8Num45z0">
    <w:name w:val="WW8Num45z0"/>
    <w:qFormat/>
    <w:rPr/>
  </w:style>
  <w:style w:type="character" w:styleId="Style5">
    <w:name w:val="Основной шрифт абзаца"/>
    <w:qFormat/>
    <w:rPr/>
  </w:style>
  <w:style w:type="character" w:styleId="11">
    <w:name w:val="Заголовок 1 Знак"/>
    <w:qFormat/>
    <w:rPr>
      <w:sz w:val="28"/>
    </w:rPr>
  </w:style>
  <w:style w:type="character" w:styleId="61">
    <w:name w:val="Заголовок 6 Знак"/>
    <w:qFormat/>
    <w:rPr>
      <w:rFonts w:ascii="Calibri" w:hAnsi="Calibri" w:eastAsia="Times New Roman" w:cs="Times New Roman"/>
      <w:b/>
      <w:bCs/>
      <w:sz w:val="22"/>
      <w:szCs w:val="22"/>
    </w:rPr>
  </w:style>
  <w:style w:type="character" w:styleId="21">
    <w:name w:val="Заголовок 2 Знак"/>
    <w:qFormat/>
    <w:rPr>
      <w:sz w:val="28"/>
      <w:szCs w:val="24"/>
    </w:rPr>
  </w:style>
  <w:style w:type="character" w:styleId="71">
    <w:name w:val="Заголовок 7 Знак"/>
    <w:qFormat/>
    <w:rPr>
      <w:sz w:val="28"/>
      <w:szCs w:val="22"/>
    </w:rPr>
  </w:style>
  <w:style w:type="character" w:styleId="81">
    <w:name w:val="Заголовок 8 Знак"/>
    <w:qFormat/>
    <w:rPr>
      <w:i/>
      <w:iCs/>
      <w:sz w:val="24"/>
      <w:szCs w:val="24"/>
    </w:rPr>
  </w:style>
  <w:style w:type="character" w:styleId="91">
    <w:name w:val="Заголовок 9 Знак"/>
    <w:qFormat/>
    <w:rPr>
      <w:b/>
      <w:sz w:val="24"/>
      <w:szCs w:val="28"/>
    </w:rPr>
  </w:style>
  <w:style w:type="character" w:styleId="Style6">
    <w:name w:val="Название Знак"/>
    <w:qFormat/>
    <w:rPr>
      <w:b/>
      <w:bCs/>
      <w:sz w:val="24"/>
      <w:szCs w:val="24"/>
    </w:rPr>
  </w:style>
  <w:style w:type="character" w:styleId="Style7">
    <w:name w:val="Основной текст Знак"/>
    <w:qFormat/>
    <w:rPr>
      <w:sz w:val="28"/>
      <w:szCs w:val="24"/>
    </w:rPr>
  </w:style>
  <w:style w:type="character" w:styleId="12">
    <w:name w:val="Основной текст Знак1"/>
    <w:basedOn w:val="Style5"/>
    <w:qFormat/>
    <w:rPr/>
  </w:style>
  <w:style w:type="character" w:styleId="Style8">
    <w:name w:val="Основной текст с отступом Знак"/>
    <w:qFormat/>
    <w:rPr>
      <w:sz w:val="28"/>
      <w:szCs w:val="24"/>
    </w:rPr>
  </w:style>
  <w:style w:type="character" w:styleId="13">
    <w:name w:val="Основной текст с отступом Знак1"/>
    <w:basedOn w:val="Style5"/>
    <w:qFormat/>
    <w:rPr/>
  </w:style>
  <w:style w:type="character" w:styleId="Style9">
    <w:name w:val="Цветовое выделение"/>
    <w:qFormat/>
    <w:rPr>
      <w:b/>
      <w:bCs/>
      <w:color w:val="000080"/>
      <w:sz w:val="22"/>
      <w:szCs w:val="22"/>
    </w:rPr>
  </w:style>
  <w:style w:type="character" w:styleId="Style10">
    <w:name w:val="Верхний колонтитул Знак"/>
    <w:qFormat/>
    <w:rPr>
      <w:sz w:val="24"/>
      <w:szCs w:val="24"/>
    </w:rPr>
  </w:style>
  <w:style w:type="character" w:styleId="14">
    <w:name w:val="Верхний колонтитул Знак1"/>
    <w:basedOn w:val="Style5"/>
    <w:qFormat/>
    <w:rPr/>
  </w:style>
  <w:style w:type="character" w:styleId="22">
    <w:name w:val="Основной текст с отступом 2 Знак"/>
    <w:qFormat/>
    <w:rPr>
      <w:sz w:val="28"/>
    </w:rPr>
  </w:style>
  <w:style w:type="character" w:styleId="211">
    <w:name w:val="Основной текст с отступом 2 Знак1"/>
    <w:basedOn w:val="Style5"/>
    <w:qFormat/>
    <w:rPr/>
  </w:style>
  <w:style w:type="character" w:styleId="23">
    <w:name w:val="Основной текст 2 Знак"/>
    <w:qFormat/>
    <w:rPr>
      <w:sz w:val="24"/>
    </w:rPr>
  </w:style>
  <w:style w:type="character" w:styleId="212">
    <w:name w:val="Основной текст 2 Знак1"/>
    <w:basedOn w:val="Style5"/>
    <w:qFormat/>
    <w:rPr/>
  </w:style>
  <w:style w:type="character" w:styleId="Style11">
    <w:name w:val="Текст выноски Знак"/>
    <w:qFormat/>
    <w:rPr>
      <w:rFonts w:ascii="Tahoma" w:hAnsi="Tahoma" w:cs="Tahoma"/>
      <w:sz w:val="16"/>
      <w:szCs w:val="16"/>
    </w:rPr>
  </w:style>
  <w:style w:type="character" w:styleId="15">
    <w:name w:val="Текст выноски Знак1"/>
    <w:qFormat/>
    <w:rPr>
      <w:rFonts w:ascii="Tahoma" w:hAnsi="Tahoma" w:cs="Tahoma"/>
      <w:sz w:val="16"/>
      <w:szCs w:val="16"/>
    </w:rPr>
  </w:style>
  <w:style w:type="character" w:styleId="Style12">
    <w:name w:val="Нижний колонтитул Знак"/>
    <w:qFormat/>
    <w:rPr>
      <w:rFonts w:ascii="Arial" w:hAnsi="Arial" w:cs="Arial"/>
    </w:rPr>
  </w:style>
  <w:style w:type="character" w:styleId="16">
    <w:name w:val="Нижний колонтитул Знак1"/>
    <w:basedOn w:val="Style5"/>
    <w:qFormat/>
    <w:rPr/>
  </w:style>
  <w:style w:type="character" w:styleId="Apple-style-span">
    <w:name w:val="apple-style-span"/>
    <w:basedOn w:val="Style5"/>
    <w:qFormat/>
    <w:rPr/>
  </w:style>
  <w:style w:type="character" w:styleId="-">
    <w:name w:val="Hyperlink"/>
    <w:rPr>
      <w:color w:val="0000FF"/>
      <w:u w:val="single"/>
    </w:rPr>
  </w:style>
  <w:style w:type="character" w:styleId="Style13">
    <w:name w:val="Гипертекстовая ссылка"/>
    <w:qFormat/>
    <w:rPr>
      <w:color w:val="008000"/>
      <w:sz w:val="22"/>
      <w:szCs w:val="22"/>
    </w:rPr>
  </w:style>
  <w:style w:type="character" w:styleId="41">
    <w:name w:val="4_текст Знак"/>
    <w:qFormat/>
    <w:rPr>
      <w:rFonts w:ascii="Times New Roman" w:hAnsi="Times New Roman" w:eastAsia="Calibri" w:cs="Times New Roman"/>
      <w:sz w:val="24"/>
      <w:szCs w:val="24"/>
    </w:rPr>
  </w:style>
  <w:style w:type="character" w:styleId="31">
    <w:name w:val="Заголовок 3 Знак"/>
    <w:qFormat/>
    <w:rPr>
      <w:rFonts w:ascii="Calibri Light" w:hAnsi="Calibri Light" w:eastAsia="SimSun;宋体" w:cs="Calibri Light"/>
      <w:sz w:val="32"/>
      <w:szCs w:val="32"/>
    </w:rPr>
  </w:style>
  <w:style w:type="character" w:styleId="42">
    <w:name w:val="Заголовок 4 Знак"/>
    <w:qFormat/>
    <w:rPr>
      <w:rFonts w:ascii="Calibri Light" w:hAnsi="Calibri Light" w:eastAsia="SimSun;宋体" w:cs="Calibri Light"/>
      <w:i/>
      <w:iCs/>
      <w:sz w:val="30"/>
      <w:szCs w:val="30"/>
    </w:rPr>
  </w:style>
  <w:style w:type="character" w:styleId="51">
    <w:name w:val="Заголовок 5 Знак"/>
    <w:qFormat/>
    <w:rPr>
      <w:rFonts w:ascii="Calibri Light" w:hAnsi="Calibri Light" w:eastAsia="SimSun;宋体" w:cs="Calibri Light"/>
      <w:sz w:val="28"/>
      <w:szCs w:val="28"/>
    </w:rPr>
  </w:style>
  <w:style w:type="character" w:styleId="Style14">
    <w:name w:val="Заголовок Знак"/>
    <w:qFormat/>
    <w:rPr>
      <w:rFonts w:ascii="Calibri Light" w:hAnsi="Calibri Light" w:eastAsia="SimSun;宋体" w:cs="Times New Roman"/>
      <w:caps/>
      <w:color w:val="44546A"/>
      <w:spacing w:val="30"/>
      <w:sz w:val="72"/>
      <w:szCs w:val="72"/>
    </w:rPr>
  </w:style>
  <w:style w:type="character" w:styleId="Match">
    <w:name w:val="match"/>
    <w:qFormat/>
    <w:rPr/>
  </w:style>
  <w:style w:type="character" w:styleId="Style15">
    <w:name w:val="Page Number"/>
    <w:rPr/>
  </w:style>
  <w:style w:type="character" w:styleId="FontStyle12">
    <w:name w:val="Font Style12"/>
    <w:qFormat/>
    <w:rPr>
      <w:rFonts w:ascii="Times New Roman" w:hAnsi="Times New Roman" w:cs="Times New Roman"/>
      <w:b/>
      <w:bCs/>
      <w:sz w:val="26"/>
      <w:szCs w:val="26"/>
    </w:rPr>
  </w:style>
  <w:style w:type="character" w:styleId="Highlighthighlightactive">
    <w:name w:val="highlight highlight_active"/>
    <w:qFormat/>
    <w:rPr/>
  </w:style>
  <w:style w:type="character" w:styleId="Style16">
    <w:name w:val="Текст сноски Знак"/>
    <w:qFormat/>
    <w:rPr>
      <w:rFonts w:ascii="Calibri" w:hAnsi="Calibri" w:eastAsia="Times New Roman" w:cs="Times New Roman"/>
      <w:sz w:val="21"/>
      <w:szCs w:val="21"/>
    </w:rPr>
  </w:style>
  <w:style w:type="character" w:styleId="Style17">
    <w:name w:val="Символ сноски"/>
    <w:qFormat/>
    <w:rPr>
      <w:vertAlign w:val="superscript"/>
    </w:rPr>
  </w:style>
  <w:style w:type="character" w:styleId="Style18">
    <w:name w:val="Подзаголовок Знак"/>
    <w:qFormat/>
    <w:rPr>
      <w:rFonts w:ascii="Calibri" w:hAnsi="Calibri" w:eastAsia="Times New Roman" w:cs="Times New Roman"/>
      <w:color w:val="44546A"/>
      <w:sz w:val="28"/>
      <w:szCs w:val="28"/>
    </w:rPr>
  </w:style>
  <w:style w:type="character" w:styleId="Strong">
    <w:name w:val="Strong"/>
    <w:qFormat/>
    <w:rPr>
      <w:b/>
      <w:bCs/>
    </w:rPr>
  </w:style>
  <w:style w:type="character" w:styleId="Style19">
    <w:name w:val="Emphasis"/>
    <w:qFormat/>
    <w:rPr>
      <w:i/>
      <w:iCs/>
      <w:color w:val="000000"/>
    </w:rPr>
  </w:style>
  <w:style w:type="character" w:styleId="24">
    <w:name w:val="Цитата 2 Знак"/>
    <w:qFormat/>
    <w:rPr>
      <w:rFonts w:ascii="Calibri" w:hAnsi="Calibri" w:eastAsia="Times New Roman" w:cs="Times New Roman"/>
      <w:i/>
      <w:iCs/>
      <w:color w:val="7B7B7B"/>
      <w:sz w:val="24"/>
      <w:szCs w:val="24"/>
    </w:rPr>
  </w:style>
  <w:style w:type="character" w:styleId="Style20">
    <w:name w:val="Выделенная цитата Знак"/>
    <w:qFormat/>
    <w:rPr>
      <w:rFonts w:ascii="Calibri Light" w:hAnsi="Calibri Light" w:eastAsia="SimSun;宋体" w:cs="Calibri Light"/>
      <w:caps/>
      <w:color w:val="2E74B5"/>
      <w:sz w:val="28"/>
      <w:szCs w:val="28"/>
    </w:rPr>
  </w:style>
  <w:style w:type="character" w:styleId="Style21">
    <w:name w:val="Слабое выделение"/>
    <w:qFormat/>
    <w:rPr>
      <w:i/>
      <w:iCs/>
      <w:color w:val="595959"/>
    </w:rPr>
  </w:style>
  <w:style w:type="character" w:styleId="Style22">
    <w:name w:val="Сильное выделение"/>
    <w:qFormat/>
    <w:rPr>
      <w:b/>
      <w:bCs/>
      <w:i/>
      <w:iCs/>
      <w:color w:val="000000"/>
    </w:rPr>
  </w:style>
  <w:style w:type="character" w:styleId="Style23">
    <w:name w:val="Слабая ссылка"/>
    <w:qFormat/>
    <w:rPr>
      <w:caps w:val="false"/>
      <w:smallCaps w:val="false"/>
      <w:color w:val="404040"/>
      <w:spacing w:val="0"/>
      <w:u w:val="single" w:color="7F7F7F"/>
    </w:rPr>
  </w:style>
  <w:style w:type="character" w:styleId="Style24">
    <w:name w:val="Сильная ссылка"/>
    <w:qFormat/>
    <w:rPr>
      <w:b/>
      <w:bCs/>
      <w:caps w:val="false"/>
      <w:smallCaps w:val="false"/>
      <w:color w:val="000000"/>
      <w:spacing w:val="0"/>
      <w:u w:val="single"/>
    </w:rPr>
  </w:style>
  <w:style w:type="character" w:styleId="Style25">
    <w:name w:val="Название книги"/>
    <w:qFormat/>
    <w:rPr>
      <w:b/>
      <w:bCs/>
      <w:caps w:val="false"/>
      <w:smallCaps w:val="false"/>
      <w:spacing w:val="0"/>
    </w:rPr>
  </w:style>
  <w:style w:type="character" w:styleId="DefaultParagraphFont">
    <w:name w:val="Default Paragraph Font"/>
    <w:qFormat/>
    <w:rPr/>
  </w:style>
  <w:style w:type="character" w:styleId="SubtleEmphasis">
    <w:name w:val="Subtle Emphasis"/>
    <w:basedOn w:val="DefaultParagraphFont"/>
    <w:qFormat/>
    <w:rPr>
      <w:i/>
      <w:iCs/>
      <w:color w:val="404040"/>
    </w:rPr>
  </w:style>
  <w:style w:type="paragraph" w:styleId="Style26">
    <w:name w:val="Заголовок"/>
    <w:basedOn w:val="Normal"/>
    <w:next w:val="Style27"/>
    <w:qFormat/>
    <w:pPr>
      <w:jc w:val="center"/>
    </w:pPr>
    <w:rPr>
      <w:b/>
      <w:bCs/>
      <w:sz w:val="24"/>
      <w:szCs w:val="24"/>
    </w:rPr>
  </w:style>
  <w:style w:type="paragraph" w:styleId="Style27">
    <w:name w:val="Body Text"/>
    <w:basedOn w:val="Normal"/>
    <w:pPr>
      <w:jc w:val="both"/>
    </w:pPr>
    <w:rPr>
      <w:sz w:val="28"/>
      <w:szCs w:val="24"/>
    </w:rPr>
  </w:style>
  <w:style w:type="paragraph" w:styleId="Style28">
    <w:name w:val="List"/>
    <w:basedOn w:val="Style27"/>
    <w:pPr/>
    <w:rPr>
      <w:rFonts w:ascii="PT Astra Serif" w:hAnsi="PT Astra Serif" w:cs="Noto Sans Devanagari"/>
    </w:rPr>
  </w:style>
  <w:style w:type="paragraph" w:styleId="Style29">
    <w:name w:val="Caption"/>
    <w:basedOn w:val="Normal"/>
    <w:qFormat/>
    <w:pPr>
      <w:suppressLineNumbers/>
      <w:spacing w:before="120" w:after="120"/>
    </w:pPr>
    <w:rPr>
      <w:rFonts w:ascii="PT Astra Serif" w:hAnsi="PT Astra Serif" w:cs="Noto Sans Devanagari"/>
      <w:i/>
      <w:iCs/>
      <w:sz w:val="24"/>
      <w:szCs w:val="24"/>
    </w:rPr>
  </w:style>
  <w:style w:type="paragraph" w:styleId="Style30">
    <w:name w:val="Указатель"/>
    <w:basedOn w:val="Normal"/>
    <w:qFormat/>
    <w:pPr>
      <w:suppressLineNumbers/>
    </w:pPr>
    <w:rPr>
      <w:rFonts w:ascii="PT Astra Serif" w:hAnsi="PT Astra Serif" w:cs="Noto Sans Devanagari"/>
    </w:rPr>
  </w:style>
  <w:style w:type="paragraph" w:styleId="Style31">
    <w:name w:val="Body Text Indent"/>
    <w:basedOn w:val="Normal"/>
    <w:pPr>
      <w:ind w:left="0" w:right="0" w:firstLine="360"/>
      <w:jc w:val="both"/>
    </w:pPr>
    <w:rPr>
      <w:sz w:val="28"/>
      <w:szCs w:val="24"/>
    </w:rPr>
  </w:style>
  <w:style w:type="paragraph" w:styleId="Style32">
    <w:name w:val="Абзац списка"/>
    <w:basedOn w:val="Normal"/>
    <w:qFormat/>
    <w:pPr>
      <w:spacing w:lineRule="auto" w:line="276" w:before="0" w:after="200"/>
      <w:ind w:left="720" w:right="0" w:hanging="0"/>
      <w:contextualSpacing/>
    </w:pPr>
    <w:rPr>
      <w:rFonts w:ascii="Calibri" w:hAnsi="Calibri" w:eastAsia="Calibri" w:cs="Calibri"/>
      <w:sz w:val="22"/>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33">
    <w:name w:val="Колонтитул"/>
    <w:basedOn w:val="Normal"/>
    <w:qFormat/>
    <w:pPr>
      <w:suppressLineNumbers/>
      <w:tabs>
        <w:tab w:val="clear" w:pos="708"/>
        <w:tab w:val="center" w:pos="4819" w:leader="none"/>
        <w:tab w:val="right" w:pos="9638" w:leader="none"/>
      </w:tabs>
    </w:pPr>
    <w:rPr/>
  </w:style>
  <w:style w:type="paragraph" w:styleId="Style34">
    <w:name w:val="Header"/>
    <w:basedOn w:val="Normal"/>
    <w:pPr>
      <w:tabs>
        <w:tab w:val="clear" w:pos="708"/>
        <w:tab w:val="center" w:pos="4677" w:leader="none"/>
        <w:tab w:val="right" w:pos="9355" w:leader="none"/>
      </w:tabs>
    </w:pPr>
    <w:rPr>
      <w:sz w:val="24"/>
      <w:szCs w:val="24"/>
    </w:rPr>
  </w:style>
  <w:style w:type="paragraph" w:styleId="25">
    <w:name w:val="Основной текст с отступом 2"/>
    <w:basedOn w:val="Normal"/>
    <w:qFormat/>
    <w:pPr>
      <w:ind w:left="0" w:right="0" w:firstLine="709"/>
      <w:jc w:val="both"/>
    </w:pPr>
    <w:rPr>
      <w:sz w:val="28"/>
    </w:rPr>
  </w:style>
  <w:style w:type="paragraph" w:styleId="ConsNormal">
    <w:name w:val="ConsNormal"/>
    <w:qFormat/>
    <w:pPr>
      <w:widowControl w:val="false"/>
      <w:suppressAutoHyphens w:val="true"/>
      <w:bidi w:val="0"/>
      <w:spacing w:before="0" w:after="0"/>
      <w:ind w:left="0" w:right="19772" w:firstLine="720"/>
      <w:jc w:val="left"/>
    </w:pPr>
    <w:rPr>
      <w:rFonts w:ascii="Arial" w:hAnsi="Arial" w:eastAsia="Times New Roman" w:cs="Arial"/>
      <w:color w:val="auto"/>
      <w:kern w:val="0"/>
      <w:sz w:val="20"/>
      <w:szCs w:val="20"/>
      <w:lang w:val="ru-RU" w:eastAsia="zh-CN" w:bidi="ar-SA"/>
    </w:rPr>
  </w:style>
  <w:style w:type="paragraph" w:styleId="26">
    <w:name w:val="Основной текст 2"/>
    <w:basedOn w:val="Normal"/>
    <w:qFormat/>
    <w:pPr>
      <w:spacing w:lineRule="auto" w:line="480" w:before="0" w:after="120"/>
    </w:pPr>
    <w:rPr>
      <w:sz w:val="24"/>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35">
    <w:name w:val="Текст выноски"/>
    <w:basedOn w:val="Normal"/>
    <w:qFormat/>
    <w:pPr/>
    <w:rPr>
      <w:rFonts w:ascii="Tahoma" w:hAnsi="Tahoma" w:cs="Tahoma"/>
      <w:sz w:val="16"/>
      <w:szCs w:val="16"/>
    </w:rPr>
  </w:style>
  <w:style w:type="paragraph" w:styleId="Style36">
    <w:name w:val="Footer"/>
    <w:basedOn w:val="Normal"/>
    <w:pPr>
      <w:widowControl w:val="false"/>
      <w:tabs>
        <w:tab w:val="clear" w:pos="708"/>
        <w:tab w:val="center" w:pos="4677" w:leader="none"/>
        <w:tab w:val="right" w:pos="9355" w:leader="none"/>
      </w:tabs>
      <w:ind w:left="0" w:right="0" w:firstLine="720"/>
      <w:jc w:val="both"/>
    </w:pPr>
    <w:rPr>
      <w:rFonts w:ascii="Arial" w:hAnsi="Arial" w:cs="Arial"/>
    </w:rPr>
  </w:style>
  <w:style w:type="paragraph" w:styleId="ConsTitle">
    <w:name w:val="ConsTitle"/>
    <w:qFormat/>
    <w:pPr>
      <w:widowControl w:val="false"/>
      <w:suppressAutoHyphens w:val="true"/>
      <w:bidi w:val="0"/>
      <w:spacing w:before="0" w:after="0"/>
      <w:ind w:left="0" w:right="19772" w:hanging="0"/>
      <w:jc w:val="left"/>
    </w:pPr>
    <w:rPr>
      <w:rFonts w:ascii="Arial" w:hAnsi="Arial" w:eastAsia="Times New Roman" w:cs="Arial"/>
      <w:b/>
      <w:bCs/>
      <w:color w:val="auto"/>
      <w:kern w:val="0"/>
      <w:sz w:val="16"/>
      <w:szCs w:val="16"/>
      <w:lang w:val="ru-RU" w:eastAsia="zh-CN"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paragraph" w:styleId="Formattext">
    <w:name w:val="formattext"/>
    <w:basedOn w:val="Normal"/>
    <w:qFormat/>
    <w:pPr>
      <w:spacing w:before="280" w:after="280"/>
    </w:pPr>
    <w:rPr>
      <w:sz w:val="24"/>
      <w:szCs w:val="24"/>
    </w:rPr>
  </w:style>
  <w:style w:type="paragraph" w:styleId="Headertext">
    <w:name w:val="headertext"/>
    <w:basedOn w:val="Normal"/>
    <w:qFormat/>
    <w:pPr>
      <w:suppressAutoHyphens w:val="true"/>
      <w:spacing w:before="280" w:after="280"/>
    </w:pPr>
    <w:rPr>
      <w:sz w:val="24"/>
      <w:szCs w:val="24"/>
      <w:lang w:eastAsia="zh-CN"/>
    </w:rPr>
  </w:style>
  <w:style w:type="paragraph" w:styleId="52">
    <w:name w:val="5_текст"/>
    <w:basedOn w:val="Style27"/>
    <w:qFormat/>
    <w:pPr>
      <w:suppressAutoHyphens w:val="true"/>
      <w:ind w:left="0" w:right="0" w:firstLine="720"/>
    </w:pPr>
    <w:rPr>
      <w:rFonts w:eastAsia="Calibri"/>
      <w:sz w:val="24"/>
      <w:lang w:eastAsia="zh-CN"/>
    </w:rPr>
  </w:style>
  <w:style w:type="paragraph" w:styleId="32">
    <w:name w:val="3_текст"/>
    <w:basedOn w:val="Style27"/>
    <w:qFormat/>
    <w:pPr>
      <w:suppressAutoHyphens w:val="true"/>
    </w:pPr>
    <w:rPr>
      <w:lang w:eastAsia="zh-CN"/>
    </w:rPr>
  </w:style>
  <w:style w:type="paragraph" w:styleId="33">
    <w:name w:val="3_Подраздел"/>
    <w:next w:val="Style27"/>
    <w:qFormat/>
    <w:pPr>
      <w:keepNext w:val="true"/>
      <w:widowControl/>
      <w:tabs>
        <w:tab w:val="clear" w:pos="708"/>
        <w:tab w:val="left" w:pos="1701" w:leader="none"/>
        <w:tab w:val="left" w:pos="2835" w:leader="none"/>
      </w:tabs>
      <w:suppressAutoHyphens w:val="true"/>
      <w:bidi w:val="0"/>
      <w:spacing w:lineRule="auto" w:line="360" w:before="240" w:after="120"/>
      <w:jc w:val="left"/>
      <w:outlineLvl w:val="2"/>
    </w:pPr>
    <w:rPr>
      <w:rFonts w:ascii="Arial" w:hAnsi="Arial" w:eastAsia="Tahoma" w:cs="Arial"/>
      <w:b/>
      <w:bCs/>
      <w:i/>
      <w:color w:val="auto"/>
      <w:kern w:val="0"/>
      <w:sz w:val="24"/>
      <w:szCs w:val="26"/>
      <w:lang w:val="ru-RU" w:eastAsia="zh-CN" w:bidi="hi-IN"/>
    </w:rPr>
  </w:style>
  <w:style w:type="paragraph" w:styleId="Style37">
    <w:name w:val="Обычный (веб)"/>
    <w:basedOn w:val="Normal"/>
    <w:qFormat/>
    <w:pPr/>
    <w:rPr>
      <w:rFonts w:eastAsia="Calibri"/>
      <w:sz w:val="24"/>
      <w:szCs w:val="24"/>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zh-CN" w:bidi="ar-SA"/>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Style38">
    <w:name w:val="Без интервала"/>
    <w:qFormat/>
    <w:pPr>
      <w:widowControl/>
      <w:suppressAutoHyphens w:val="true"/>
      <w:bidi w:val="0"/>
      <w:spacing w:before="0" w:after="0"/>
      <w:jc w:val="left"/>
    </w:pPr>
    <w:rPr>
      <w:rFonts w:ascii="Calibri" w:hAnsi="Calibri" w:eastAsia="Times New Roman" w:cs="Times New Roman"/>
      <w:color w:val="auto"/>
      <w:kern w:val="0"/>
      <w:sz w:val="21"/>
      <w:szCs w:val="21"/>
      <w:lang w:val="ru-RU" w:eastAsia="zh-CN" w:bidi="ar-SA"/>
    </w:rPr>
  </w:style>
  <w:style w:type="paragraph" w:styleId="Style39">
    <w:name w:val="Знак"/>
    <w:basedOn w:val="Normal"/>
    <w:qFormat/>
    <w:pPr>
      <w:spacing w:lineRule="auto" w:line="300" w:before="0" w:after="160"/>
    </w:pPr>
    <w:rPr>
      <w:rFonts w:ascii="Verdana" w:hAnsi="Verdana" w:eastAsia="Times New Roman" w:cs="Verdana"/>
      <w:sz w:val="21"/>
      <w:szCs w:val="21"/>
      <w:lang w:val="en-US"/>
    </w:rPr>
  </w:style>
  <w:style w:type="paragraph" w:styleId="Default">
    <w:name w:val="Default"/>
    <w:qFormat/>
    <w:pPr>
      <w:widowControl/>
      <w:suppressAutoHyphens w:val="true"/>
      <w:bidi w:val="0"/>
      <w:spacing w:lineRule="auto" w:line="300" w:before="0" w:after="160"/>
      <w:jc w:val="left"/>
    </w:pPr>
    <w:rPr>
      <w:rFonts w:ascii="Calibri" w:hAnsi="Calibri" w:eastAsia="Times New Roman" w:cs="Times New Roman"/>
      <w:color w:val="000000"/>
      <w:kern w:val="0"/>
      <w:sz w:val="24"/>
      <w:szCs w:val="24"/>
      <w:lang w:val="ru-RU" w:eastAsia="zh-CN" w:bidi="ar-SA"/>
    </w:rPr>
  </w:style>
  <w:style w:type="paragraph" w:styleId="14pt">
    <w:name w:val="Обычный + 14 pt"/>
    <w:basedOn w:val="Normal"/>
    <w:qFormat/>
    <w:pPr>
      <w:spacing w:lineRule="auto" w:line="288" w:before="0" w:after="160"/>
      <w:ind w:left="0" w:right="0" w:firstLine="709"/>
      <w:jc w:val="both"/>
    </w:pPr>
    <w:rPr>
      <w:rFonts w:ascii="Calibri" w:hAnsi="Calibri" w:eastAsia="Times New Roman" w:cs="Times New Roman"/>
      <w:sz w:val="28"/>
      <w:szCs w:val="28"/>
    </w:rPr>
  </w:style>
  <w:style w:type="paragraph" w:styleId="Western">
    <w:name w:val="western"/>
    <w:basedOn w:val="Normal"/>
    <w:qFormat/>
    <w:pPr>
      <w:spacing w:lineRule="auto" w:line="300" w:before="280" w:after="280"/>
    </w:pPr>
    <w:rPr>
      <w:rFonts w:ascii="Calibri" w:hAnsi="Calibri" w:eastAsia="Times New Roman" w:cs="Times New Roman"/>
      <w:sz w:val="24"/>
      <w:szCs w:val="24"/>
    </w:rPr>
  </w:style>
  <w:style w:type="paragraph" w:styleId="ConsPlusCell">
    <w:name w:val="ConsPlusCell"/>
    <w:qFormat/>
    <w:pPr>
      <w:widowControl/>
      <w:suppressAutoHyphens w:val="true"/>
      <w:bidi w:val="0"/>
      <w:spacing w:lineRule="auto" w:line="300" w:before="0" w:after="160"/>
      <w:jc w:val="left"/>
    </w:pPr>
    <w:rPr>
      <w:rFonts w:ascii="Calibri" w:hAnsi="Calibri" w:eastAsia="Times New Roman" w:cs="Times New Roman"/>
      <w:color w:val="auto"/>
      <w:kern w:val="0"/>
      <w:sz w:val="24"/>
      <w:szCs w:val="24"/>
      <w:lang w:val="ru-RU" w:eastAsia="zh-CN" w:bidi="ar-SA"/>
    </w:rPr>
  </w:style>
  <w:style w:type="paragraph" w:styleId="Style40">
    <w:name w:val="Footnote Text"/>
    <w:basedOn w:val="Normal"/>
    <w:pPr>
      <w:spacing w:lineRule="auto" w:line="300" w:before="0" w:after="160"/>
    </w:pPr>
    <w:rPr>
      <w:rFonts w:ascii="Calibri" w:hAnsi="Calibri" w:eastAsia="Times New Roman" w:cs="Times New Roman"/>
      <w:sz w:val="21"/>
      <w:szCs w:val="21"/>
    </w:rPr>
  </w:style>
  <w:style w:type="paragraph" w:styleId="Xl38">
    <w:name w:val="xl38"/>
    <w:basedOn w:val="Normal"/>
    <w:qFormat/>
    <w:pPr>
      <w:spacing w:lineRule="auto" w:line="300" w:before="280" w:after="280"/>
      <w:jc w:val="center"/>
      <w:textAlignment w:val="top"/>
    </w:pPr>
    <w:rPr>
      <w:rFonts w:ascii="Arial" w:hAnsi="Arial" w:eastAsia="Times New Roman" w:cs="Times New Roman"/>
      <w:sz w:val="18"/>
      <w:szCs w:val="18"/>
    </w:rPr>
  </w:style>
  <w:style w:type="paragraph" w:styleId="Style41">
    <w:name w:val="Название объекта"/>
    <w:basedOn w:val="Normal"/>
    <w:next w:val="Normal"/>
    <w:qFormat/>
    <w:pPr>
      <w:spacing w:before="0" w:after="160"/>
    </w:pPr>
    <w:rPr>
      <w:rFonts w:ascii="Calibri" w:hAnsi="Calibri" w:eastAsia="Times New Roman" w:cs="Times New Roman"/>
      <w:b/>
      <w:bCs/>
      <w:color w:val="404040"/>
      <w:sz w:val="16"/>
      <w:szCs w:val="16"/>
    </w:rPr>
  </w:style>
  <w:style w:type="paragraph" w:styleId="Style42">
    <w:name w:val="Subtitle"/>
    <w:basedOn w:val="Normal"/>
    <w:next w:val="Normal"/>
    <w:qFormat/>
    <w:pPr>
      <w:numPr>
        <w:ilvl w:val="0"/>
        <w:numId w:val="0"/>
      </w:numPr>
      <w:spacing w:lineRule="auto" w:line="300" w:before="0" w:after="160"/>
      <w:ind w:left="0" w:right="0" w:hanging="0"/>
      <w:jc w:val="center"/>
    </w:pPr>
    <w:rPr>
      <w:rFonts w:ascii="Calibri" w:hAnsi="Calibri" w:eastAsia="Times New Roman" w:cs="Times New Roman"/>
      <w:color w:val="44546A"/>
      <w:sz w:val="28"/>
      <w:szCs w:val="28"/>
    </w:rPr>
  </w:style>
  <w:style w:type="paragraph" w:styleId="27">
    <w:name w:val="Цитата 2"/>
    <w:basedOn w:val="Normal"/>
    <w:next w:val="Normal"/>
    <w:qFormat/>
    <w:pPr>
      <w:spacing w:lineRule="auto" w:line="300" w:before="160" w:after="160"/>
      <w:ind w:left="720" w:right="720" w:hanging="0"/>
      <w:jc w:val="center"/>
    </w:pPr>
    <w:rPr>
      <w:rFonts w:ascii="Calibri" w:hAnsi="Calibri" w:eastAsia="Times New Roman" w:cs="Times New Roman"/>
      <w:i/>
      <w:iCs/>
      <w:color w:val="7B7B7B"/>
      <w:sz w:val="24"/>
      <w:szCs w:val="24"/>
    </w:rPr>
  </w:style>
  <w:style w:type="paragraph" w:styleId="Style43">
    <w:name w:val="Выделенная цитата"/>
    <w:basedOn w:val="Normal"/>
    <w:next w:val="Normal"/>
    <w:qFormat/>
    <w:pPr>
      <w:spacing w:lineRule="auto" w:line="276" w:before="160" w:after="160"/>
      <w:ind w:left="936" w:right="936" w:hanging="0"/>
      <w:jc w:val="center"/>
    </w:pPr>
    <w:rPr>
      <w:rFonts w:ascii="Calibri Light" w:hAnsi="Calibri Light" w:eastAsia="SimSun;宋体" w:cs="Calibri Light"/>
      <w:caps/>
      <w:color w:val="2E74B5"/>
      <w:sz w:val="28"/>
      <w:szCs w:val="28"/>
    </w:rPr>
  </w:style>
  <w:style w:type="paragraph" w:styleId="Style44">
    <w:name w:val="Index Heading"/>
    <w:basedOn w:val="Style26"/>
    <w:pPr>
      <w:suppressLineNumbers/>
      <w:ind w:left="0" w:right="0" w:hanging="0"/>
    </w:pPr>
    <w:rPr>
      <w:b/>
      <w:bCs/>
      <w:sz w:val="32"/>
      <w:szCs w:val="32"/>
    </w:rPr>
  </w:style>
  <w:style w:type="paragraph" w:styleId="Style45">
    <w:name w:val="TOC Heading"/>
    <w:basedOn w:val="1"/>
    <w:next w:val="Normal"/>
    <w:pPr>
      <w:keepLines/>
      <w:numPr>
        <w:ilvl w:val="0"/>
        <w:numId w:val="0"/>
      </w:numPr>
      <w:spacing w:before="320" w:after="80"/>
      <w:ind w:left="0" w:right="0" w:hanging="0"/>
      <w:jc w:val="center"/>
      <w:outlineLvl w:val="9"/>
    </w:pPr>
    <w:rPr>
      <w:rFonts w:ascii="Calibri Light" w:hAnsi="Calibri Light" w:eastAsia="Times New Roman" w:cs="Times New Roman"/>
      <w:color w:val="2E74B5"/>
      <w:sz w:val="40"/>
      <w:szCs w:val="40"/>
    </w:rPr>
  </w:style>
  <w:style w:type="paragraph" w:styleId="Style46">
    <w:name w:val="Содержимое таблицы"/>
    <w:basedOn w:val="Normal"/>
    <w:qFormat/>
    <w:pPr>
      <w:widowControl w:val="false"/>
      <w:suppressLineNumbers/>
    </w:pPr>
    <w:rPr/>
  </w:style>
  <w:style w:type="paragraph" w:styleId="Style47">
    <w:name w:val="Заголовок таблицы"/>
    <w:basedOn w:val="Style46"/>
    <w:qFormat/>
    <w:pPr>
      <w:suppressLineNumbers/>
      <w:jc w:val="center"/>
    </w:pPr>
    <w:rPr>
      <w:b/>
      <w:bCs/>
    </w:rPr>
  </w:style>
  <w:style w:type="paragraph" w:styleId="Style48">
    <w:name w:val="Содержимое врезки"/>
    <w:basedOn w:val="Normal"/>
    <w:qFormat/>
    <w:pPr/>
    <w:rPr/>
  </w:style>
  <w:style w:type="paragraph" w:styleId="ListParagraph">
    <w:name w:val="List Paragraph"/>
    <w:basedOn w:val="Normal"/>
    <w:qFormat/>
    <w:pPr>
      <w:ind w:left="720" w:right="0" w:hanging="0"/>
    </w:pPr>
    <w:rPr>
      <w:color w:val="auto"/>
    </w:rPr>
  </w:style>
  <w:style w:type="paragraph" w:styleId="HTMLPreformatted">
    <w:name w:val="HTML Preformatted"/>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rPr>
  </w:style>
  <w:style w:type="paragraph" w:styleId="BodyText2">
    <w:name w:val="Body Text 2"/>
    <w:basedOn w:val="Normal"/>
    <w:qFormat/>
    <w:pPr>
      <w:spacing w:lineRule="auto" w:line="480" w:before="0" w:after="120"/>
    </w:pPr>
    <w:rPr>
      <w:sz w:val="24"/>
    </w:rPr>
  </w:style>
  <w:style w:type="paragraph" w:styleId="17">
    <w:name w:val="Без интервала1"/>
    <w:qFormat/>
    <w:pPr>
      <w:widowControl/>
      <w:suppressAutoHyphens w:val="true"/>
      <w:bidi w:val="0"/>
      <w:spacing w:lineRule="auto" w:line="240" w:before="0" w:after="0"/>
      <w:jc w:val="left"/>
    </w:pPr>
    <w:rPr>
      <w:rFonts w:ascii="Calibri" w:hAnsi="Calibri" w:eastAsia="Times New Roman" w:cs="Calibri"/>
      <w:color w:val="auto"/>
      <w:kern w:val="0"/>
      <w:sz w:val="22"/>
      <w:szCs w:val="22"/>
      <w:lang w:val="ru-RU"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tatarstan.ru/" TargetMode="External"/><Relationship Id="rId3" Type="http://schemas.openxmlformats.org/officeDocument/2006/relationships/hyperlink" Target="https://agryz.tatarstan.ru/" TargetMode="External"/><Relationship Id="rId4"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6" Type="http://schemas.openxmlformats.org/officeDocument/2006/relationships/hyperlink" Target="javascript:;" TargetMode="Externa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hyperlink" Target="javascript:;" TargetMode="External"/><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javascript:;" TargetMode="External"/><Relationship Id="rId17" Type="http://schemas.openxmlformats.org/officeDocument/2006/relationships/hyperlink" Target="javascript:;" TargetMode="External"/><Relationship Id="rId18" Type="http://schemas.openxmlformats.org/officeDocument/2006/relationships/hyperlink" Target="javascript:;" TargetMode="External"/><Relationship Id="rId19" Type="http://schemas.openxmlformats.org/officeDocument/2006/relationships/hyperlink" Target="javascript:;" TargetMode="External"/><Relationship Id="rId20" Type="http://schemas.openxmlformats.org/officeDocument/2006/relationships/hyperlink" Target="javascript:;" TargetMode="External"/><Relationship Id="rId21" Type="http://schemas.openxmlformats.org/officeDocument/2006/relationships/hyperlink" Target="javascript:;" TargetMode="External"/><Relationship Id="rId22" Type="http://schemas.openxmlformats.org/officeDocument/2006/relationships/hyperlink" Target="javascript:;" TargetMode="External"/><Relationship Id="rId23" Type="http://schemas.openxmlformats.org/officeDocument/2006/relationships/hyperlink" Target="javascript:;" TargetMode="External"/><Relationship Id="rId24" Type="http://schemas.openxmlformats.org/officeDocument/2006/relationships/hyperlink" Target="javascript:;" TargetMode="External"/><Relationship Id="rId25" Type="http://schemas.openxmlformats.org/officeDocument/2006/relationships/hyperlink" Target="javascript:;" TargetMode="External"/><Relationship Id="rId26" Type="http://schemas.openxmlformats.org/officeDocument/2006/relationships/hyperlink" Target="javascript:;" TargetMode="External"/><Relationship Id="rId27" Type="http://schemas.openxmlformats.org/officeDocument/2006/relationships/hyperlink" Target="javascript:;" TargetMode="External"/><Relationship Id="rId28" Type="http://schemas.openxmlformats.org/officeDocument/2006/relationships/hyperlink" Target="javascript:;" TargetMode="External"/><Relationship Id="rId29" Type="http://schemas.openxmlformats.org/officeDocument/2006/relationships/hyperlink" Target="javascript:;" TargetMode="External"/><Relationship Id="rId30" Type="http://schemas.openxmlformats.org/officeDocument/2006/relationships/hyperlink" Target="javascript:;" TargetMode="External"/><Relationship Id="rId31" Type="http://schemas.openxmlformats.org/officeDocument/2006/relationships/hyperlink" Target="javascript:;" TargetMode="External"/><Relationship Id="rId32" Type="http://schemas.openxmlformats.org/officeDocument/2006/relationships/hyperlink" Target="javascript:;" TargetMode="External"/><Relationship Id="rId33" Type="http://schemas.openxmlformats.org/officeDocument/2006/relationships/hyperlink" Target="javascript:;" TargetMode="External"/><Relationship Id="rId34" Type="http://schemas.openxmlformats.org/officeDocument/2006/relationships/hyperlink" Target="javascript:;" TargetMode="External"/><Relationship Id="rId35" Type="http://schemas.openxmlformats.org/officeDocument/2006/relationships/hyperlink" Target="javascript:;" TargetMode="External"/><Relationship Id="rId36" Type="http://schemas.openxmlformats.org/officeDocument/2006/relationships/hyperlink" Target="javascript:;" TargetMode="External"/><Relationship Id="rId37" Type="http://schemas.openxmlformats.org/officeDocument/2006/relationships/hyperlink" Target="javascript:;" TargetMode="External"/><Relationship Id="rId38" Type="http://schemas.openxmlformats.org/officeDocument/2006/relationships/hyperlink" Target="javascript:;" TargetMode="External"/><Relationship Id="rId39" Type="http://schemas.openxmlformats.org/officeDocument/2006/relationships/hyperlink" Target="javascript:;" TargetMode="External"/><Relationship Id="rId40" Type="http://schemas.openxmlformats.org/officeDocument/2006/relationships/hyperlink" Target="javascript:;" TargetMode="External"/><Relationship Id="rId41" Type="http://schemas.openxmlformats.org/officeDocument/2006/relationships/hyperlink" Target="javascript:;" TargetMode="External"/><Relationship Id="rId4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4" Type="http://schemas.openxmlformats.org/officeDocument/2006/relationships/hyperlink" Target="javascript:;" TargetMode="Externa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98</TotalTime>
  <Application>LibreOffice/7.5.6.2$Linux_X86_64 LibreOffice_project/50$Build-2</Application>
  <AppVersion>15.0000</AppVersion>
  <Pages>27</Pages>
  <Words>9582</Words>
  <Characters>73073</Characters>
  <CharactersWithSpaces>82318</CharactersWithSpaces>
  <Paragraphs>506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dc:description/>
  <dc:language>ru-RU</dc:language>
  <cp:lastModifiedBy/>
  <dcterms:modified xsi:type="dcterms:W3CDTF">2025-07-04T09:33:49Z</dcterms:modified>
  <cp:revision>10</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