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  <w:sz w:val="24"/>
          <w:szCs w:val="24"/>
          <w:lang w:val="ru-RU" w:eastAsia="ru-RU"/>
        </w:rPr>
      </w:pPr>
      <w:r>
        <w:rPr>
          <w:rFonts w:ascii="Liberation Sans" w:hAnsi="Liberation Sans"/>
          <w:sz w:val="24"/>
          <w:szCs w:val="24"/>
          <w:lang w:val="ru-RU" w:eastAsia="ru-RU"/>
        </w:rPr>
        <w:drawing>
          <wp:inline distT="0" distB="0" distL="0" distR="0">
            <wp:extent cx="5952490" cy="155003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77" t="36661" r="1983" b="25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75"/>
        <w:gridCol w:w="653"/>
        <w:gridCol w:w="3284"/>
        <w:gridCol w:w="484"/>
        <w:gridCol w:w="1217"/>
      </w:tblGrid>
      <w:tr>
        <w:trPr>
          <w:trHeight w:val="415" w:hRule="atLeast"/>
        </w:trPr>
        <w:tc>
          <w:tcPr>
            <w:tcW w:w="851" w:type="dxa"/>
            <w:tcBorders/>
          </w:tcPr>
          <w:p>
            <w:pPr>
              <w:pStyle w:val="Style30"/>
              <w:snapToGrid w:val="false"/>
              <w:rPr>
                <w:rFonts w:ascii="Liberation Sans" w:hAnsi="Liberation Sans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>
            <w:pPr>
              <w:pStyle w:val="Style3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24.02.2025</w:t>
            </w:r>
          </w:p>
        </w:tc>
        <w:tc>
          <w:tcPr>
            <w:tcW w:w="653" w:type="dxa"/>
            <w:tcBorders/>
          </w:tcPr>
          <w:p>
            <w:pPr>
              <w:pStyle w:val="Style30"/>
              <w:snapToGrid w:val="false"/>
              <w:rPr>
                <w:rFonts w:ascii="Liberation Sans" w:hAnsi="Liberation Sans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sz w:val="24"/>
                <w:szCs w:val="24"/>
                <w:lang w:val="be-BY"/>
              </w:rPr>
            </w:r>
          </w:p>
        </w:tc>
        <w:tc>
          <w:tcPr>
            <w:tcW w:w="3284" w:type="dxa"/>
            <w:tcBorders/>
            <w:vAlign w:val="center"/>
          </w:tcPr>
          <w:p>
            <w:pPr>
              <w:pStyle w:val="Style3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be-BY"/>
              </w:rPr>
              <w:t xml:space="preserve">с. 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>Иж-Бобья</w:t>
            </w:r>
          </w:p>
        </w:tc>
        <w:tc>
          <w:tcPr>
            <w:tcW w:w="484" w:type="dxa"/>
            <w:tcBorders/>
          </w:tcPr>
          <w:p>
            <w:pPr>
              <w:pStyle w:val="Style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lang w:val="be-BY"/>
              </w:rPr>
              <w:t>№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54-2</w:t>
            </w:r>
          </w:p>
        </w:tc>
      </w:tr>
    </w:tbl>
    <w:p>
      <w:pPr>
        <w:pStyle w:val="Normal"/>
        <w:widowControl w:val="false"/>
        <w:autoSpaceDE w:val="false"/>
        <w:ind w:right="-518" w:firstLine="567"/>
        <w:jc w:val="right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tbl>
      <w:tblPr>
        <w:tblW w:w="70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</w:tblGrid>
      <w:tr>
        <w:trPr/>
        <w:tc>
          <w:tcPr>
            <w:tcW w:w="7054" w:type="dxa"/>
            <w:tcBorders/>
          </w:tcPr>
          <w:p>
            <w:pPr>
              <w:pStyle w:val="Headertext"/>
              <w:spacing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О внесении изменений в решение Совета Иж-Бобьинского сельского поселения Агрызского муниципального района от 16.05.2022 № 16-1 «Об осуществлении муниципального контроля в сфере благоустройства на территории муниципального образования «Иж-Бобьинское сельское поселение» Агрызского муниципального района Республики Татарстан</w:t>
            </w:r>
          </w:p>
        </w:tc>
      </w:tr>
    </w:tbl>
    <w:p>
      <w:pPr>
        <w:pStyle w:val="Headertext"/>
        <w:spacing w:before="280" w:after="24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/>
          <w:sz w:val="24"/>
          <w:szCs w:val="24"/>
        </w:rPr>
        <w:t>Совет Иж-Бобьинского сельского поселения Агрызского муниципального района Республики Татарстан РЕШИЛ: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1.Утвердить прилагаемые изменения в решение Совета Иж-Бобьинского сельского поселения Агрызского муниципального района Республики Татарстан от 16.05.2022 № 16-1 «Об осуществлении муниципального контроля в сфере благоустройства на территории муниципального образования «Иж-Бобьинское сельское поселение»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2. Настоящее решение опубликовать на официальном портале правовой информации Республики Татарстан по веб-адресу: </w:t>
      </w:r>
      <w:r>
        <w:rPr>
          <w:rFonts w:ascii="Liberation Sans" w:hAnsi="Liberation Sans"/>
          <w:sz w:val="24"/>
          <w:szCs w:val="24"/>
          <w:lang w:val="en-US"/>
        </w:rPr>
        <w:t>http</w:t>
      </w:r>
      <w:r>
        <w:rPr>
          <w:rFonts w:ascii="Liberation Sans" w:hAnsi="Liberation Sans"/>
          <w:sz w:val="24"/>
          <w:szCs w:val="24"/>
        </w:rPr>
        <w:t>://</w:t>
      </w:r>
      <w:r>
        <w:rPr>
          <w:rFonts w:ascii="Liberation Sans" w:hAnsi="Liberation Sans"/>
          <w:sz w:val="24"/>
          <w:szCs w:val="24"/>
          <w:lang w:val="en-US"/>
        </w:rPr>
        <w:t>pravo</w:t>
      </w:r>
      <w:r>
        <w:rPr>
          <w:rFonts w:ascii="Liberation Sans" w:hAnsi="Liberation Sans"/>
          <w:sz w:val="24"/>
          <w:szCs w:val="24"/>
        </w:rPr>
        <w:t>.</w:t>
      </w:r>
      <w:r>
        <w:rPr>
          <w:rFonts w:ascii="Liberation Sans" w:hAnsi="Liberation Sans"/>
          <w:sz w:val="24"/>
          <w:szCs w:val="24"/>
          <w:lang w:val="en-US"/>
        </w:rPr>
        <w:t>tatarstan</w:t>
      </w:r>
      <w:r>
        <w:rPr>
          <w:rFonts w:ascii="Liberation Sans" w:hAnsi="Liberation Sans"/>
          <w:sz w:val="24"/>
          <w:szCs w:val="24"/>
        </w:rPr>
        <w:t>.</w:t>
      </w:r>
      <w:r>
        <w:rPr>
          <w:rFonts w:ascii="Liberation Sans" w:hAnsi="Liberation Sans"/>
          <w:sz w:val="24"/>
          <w:szCs w:val="24"/>
          <w:lang w:val="en-US"/>
        </w:rPr>
        <w:t>ru</w:t>
      </w:r>
      <w:r>
        <w:rPr>
          <w:rFonts w:ascii="Liberation Sans" w:hAnsi="Liberation Sans"/>
          <w:sz w:val="24"/>
          <w:szCs w:val="24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Иж-Бобьинского сельского поселения Агрызского муниципального района Республики Татарстан. 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3. Настоящее решение вступает в силу со дня его опубликования.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 Контроль за исполнением настоящего решения оставляю за собой. </w:t>
      </w:r>
    </w:p>
    <w:p>
      <w:pPr>
        <w:pStyle w:val="Normal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  <w:t>Председатель Совета,</w:t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  <w:t>Глава сельского поселения                                                        Р.Р. ВАГАПОВ</w:t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widowControl w:val="false"/>
        <w:autoSpaceDE w:val="false"/>
        <w:ind w:right="-92" w:firstLine="567"/>
        <w:jc w:val="both"/>
        <w:rPr>
          <w:rFonts w:ascii="Liberation Sans" w:hAnsi="Liberation Sans" w:cs="Times New Roman CYR"/>
          <w:sz w:val="24"/>
          <w:szCs w:val="24"/>
        </w:rPr>
      </w:pPr>
      <w:r>
        <w:rPr>
          <w:rFonts w:cs="Times New Roman CYR" w:ascii="Liberation Sans" w:hAnsi="Liberation Sans"/>
          <w:sz w:val="24"/>
          <w:szCs w:val="24"/>
        </w:rPr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Утверждены</w:t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решением Совета Иж-Бобьинского</w:t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сельского поселения Агрызского</w:t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муниципального района </w:t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Республики Татарстан</w:t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от 24.02.2025 №54-2</w:t>
      </w:r>
    </w:p>
    <w:p>
      <w:pPr>
        <w:pStyle w:val="Normal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firstLine="567"/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ИЗМЕНЕНИЯ,</w:t>
      </w:r>
    </w:p>
    <w:p>
      <w:pPr>
        <w:pStyle w:val="Normal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которые вносятся в решение Совета Иж-Бобьинского сельского поселения Агрызского муниципального района Республики Татарстан      от 16.05.2022 №16-1 «Об осуществлении муниципального контроля в сфере благоустройства на территории муниципального образования «Иж-Бобьинское сельское поселение» Агрызского муниципального района Республики Татарстан</w:t>
      </w:r>
    </w:p>
    <w:p>
      <w:pPr>
        <w:pStyle w:val="Normal"/>
        <w:ind w:firstLine="426"/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</w:r>
    </w:p>
    <w:p>
      <w:pPr>
        <w:pStyle w:val="Style29"/>
        <w:numPr>
          <w:ilvl w:val="0"/>
          <w:numId w:val="3"/>
        </w:numPr>
        <w:spacing w:lineRule="auto" w:line="240" w:before="0" w:after="0"/>
        <w:ind w:left="0" w:firstLine="426"/>
        <w:contextualSpacing/>
        <w:jc w:val="both"/>
        <w:rPr>
          <w:rFonts w:ascii="Liberation Sans" w:hAnsi="Liberation Sans" w:eastAsia="Times New Roman" w:cs="Times New Roman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Пункт 1.2 раздела 1 дополнить абзацами 4-5 следующего содержания:</w:t>
      </w:r>
    </w:p>
    <w:p>
      <w:pPr>
        <w:pStyle w:val="Style33"/>
        <w:spacing w:before="0" w:after="0"/>
        <w:ind w:firstLine="426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«соблюдение (реализация) требований, содержащихся в разрешительных документах;</w:t>
      </w:r>
    </w:p>
    <w:p>
      <w:pPr>
        <w:pStyle w:val="Style33"/>
        <w:spacing w:before="0" w:after="0"/>
        <w:ind w:firstLine="42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>
      <w:pPr>
        <w:pStyle w:val="Style33"/>
        <w:spacing w:before="0" w:after="0"/>
        <w:ind w:firstLine="42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numPr>
          <w:ilvl w:val="0"/>
          <w:numId w:val="3"/>
        </w:numPr>
        <w:spacing w:before="0" w:after="0"/>
        <w:ind w:left="0" w:firstLine="36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абзаце 2 пункта 1.2 раздела 1 слова «, организация благоустройства в соответствии с Правилами» исключить;</w:t>
      </w:r>
    </w:p>
    <w:p>
      <w:pPr>
        <w:pStyle w:val="Style33"/>
        <w:spacing w:before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numPr>
          <w:ilvl w:val="0"/>
          <w:numId w:val="3"/>
        </w:numPr>
        <w:spacing w:before="0" w:after="240"/>
        <w:ind w:left="0" w:firstLine="42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пункт 3.5.1 раздела 3 изложить в следующей редакции:</w:t>
      </w:r>
      <w:bookmarkStart w:id="0" w:name="P009E"/>
      <w:bookmarkStart w:id="1" w:name="P009B"/>
      <w:bookmarkEnd w:id="0"/>
      <w:bookmarkEnd w:id="1"/>
    </w:p>
    <w:p>
      <w:pPr>
        <w:pStyle w:val="Style33"/>
        <w:spacing w:before="0" w:after="240"/>
        <w:ind w:firstLine="426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bookmarkStart w:id="2" w:name="P00A0"/>
      <w:bookmarkEnd w:id="2"/>
    </w:p>
    <w:p>
      <w:pPr>
        <w:pStyle w:val="Headertext"/>
        <w:spacing w:before="280" w:after="24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<w:br/>
      </w:r>
      <w:bookmarkStart w:id="3" w:name="P00A2"/>
      <w:bookmarkEnd w:id="3"/>
      <w:r>
        <w:rPr>
          <w:rFonts w:ascii="Liberation Sans" w:hAnsi="Liberation Sans"/>
          <w:sz w:val="24"/>
          <w:szCs w:val="24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<w:br/>
      </w:r>
      <w:bookmarkStart w:id="4" w:name="P00A4"/>
      <w:bookmarkEnd w:id="4"/>
      <w:r>
        <w:rPr>
          <w:rFonts w:ascii="Liberation Sans" w:hAnsi="Liberation Sans"/>
          <w:sz w:val="24"/>
          <w:szCs w:val="24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.»;</w:t>
      </w:r>
    </w:p>
    <w:p>
      <w:pPr>
        <w:pStyle w:val="Formattext"/>
        <w:numPr>
          <w:ilvl w:val="0"/>
          <w:numId w:val="2"/>
        </w:numPr>
        <w:spacing w:before="0" w:after="0"/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Formattext"/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88" w:before="0" w:after="0"/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пункт 4.5.3 дополнить словами следующего содержания:</w:t>
      </w:r>
    </w:p>
    <w:p>
      <w:pPr>
        <w:pStyle w:val="Style33"/>
        <w:spacing w:lineRule="atLeast" w:line="288" w:before="0" w:after="0"/>
        <w:ind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«, за исключением случаев ее проведения в соответствии с </w:t>
      </w:r>
      <w:hyperlink r:id="rId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7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8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9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частями 12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10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12.1 статьи 66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»;.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ab/>
        <w:t>6. абзац 2 пункта 4.5.6 дополнить словами:</w:t>
      </w:r>
    </w:p>
    <w:p>
      <w:pPr>
        <w:pStyle w:val="Style33"/>
        <w:spacing w:lineRule="atLeast" w:line="288" w:before="0" w:after="0"/>
        <w:ind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«, за исключением выездной проверки, основанием для проведения которой является </w:t>
      </w:r>
      <w:hyperlink r:id="rId11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 6 части 1 статьи 57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rFonts w:ascii="Liberation Sans" w:hAnsi="Liberation Sans"/>
          <w:sz w:val="24"/>
          <w:szCs w:val="24"/>
        </w:rPr>
        <w:t>и которая для микропредприятия не может продолжаться более сорока часов.»;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numPr>
          <w:ilvl w:val="0"/>
          <w:numId w:val="4"/>
        </w:numPr>
        <w:spacing w:lineRule="atLeast" w:line="288" w:before="0" w:after="0"/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пункт 4.5.7 изложить в следующей редакции:</w:t>
      </w:r>
    </w:p>
    <w:p>
      <w:pPr>
        <w:pStyle w:val="Formattext"/>
        <w:spacing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</w:t>
      </w:r>
      <w:r>
        <w:rPr>
          <w:rFonts w:ascii="Liberation Sans" w:hAnsi="Liberation Sans"/>
          <w:sz w:val="24"/>
          <w:szCs w:val="24"/>
        </w:rPr>
        <w:t>«4.5.7. Перечень допустимых контрольных действий в ходе выездной проверки: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 осмотр;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2) досмотр;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3) опрос;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4) получение письменных объяснений;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5) истребование документов;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6) отбор проб (образцов);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7) инструментальное обследование;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8) испытание;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9) экспертиза;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10) эксперимент.» ;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</w:t>
      </w:r>
      <w:r>
        <w:rPr>
          <w:rFonts w:ascii="Liberation Sans" w:hAnsi="Liberation Sans"/>
          <w:sz w:val="24"/>
          <w:szCs w:val="24"/>
        </w:rPr>
        <w:t>8.  пункт 4.6.2 дополнить подпунктом д) следующего содержания: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«д) инструментальное обследование.»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</w:t>
      </w:r>
      <w:r>
        <w:rPr>
          <w:rFonts w:ascii="Liberation Sans" w:hAnsi="Liberation Sans"/>
          <w:sz w:val="24"/>
          <w:szCs w:val="24"/>
        </w:rPr>
        <w:t>9. пункт 4.6.5 изложить в следующей редакции:</w:t>
      </w:r>
    </w:p>
    <w:p>
      <w:pPr>
        <w:pStyle w:val="Formattext"/>
        <w:spacing w:before="0" w:after="0"/>
        <w:ind w:firstLine="567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«4.6.5. Перечень допустимых контрольных действий в ходе рейдового осмотра: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 осмотр;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2) досмотр;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3) опрос;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4) получение письменных объяснений;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5) истребование документов;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6) отбор проб (образцов);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7) инструментальное обследование;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8) испытание;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9) экспертиза; 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10) эксперимент.»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10. пункт 4.6.8 изложить в следующей редакции:</w:t>
      </w:r>
    </w:p>
    <w:p>
      <w:pPr>
        <w:pStyle w:val="Style33"/>
        <w:spacing w:lineRule="atLeast" w:line="288" w:before="0" w:after="0"/>
        <w:ind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2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3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sz w:val="24"/>
          <w:szCs w:val="24"/>
        </w:rPr>
        <w:t xml:space="preserve">, </w:t>
      </w:r>
      <w:hyperlink r:id="rId1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sz w:val="24"/>
          <w:szCs w:val="24"/>
        </w:rPr>
        <w:t xml:space="preserve"> и </w:t>
      </w:r>
      <w:hyperlink r:id="rId17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12 статьи 66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Федерации»;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pacing w:val="-4"/>
          <w:sz w:val="24"/>
          <w:szCs w:val="24"/>
        </w:rPr>
      </w:pPr>
      <w:r>
        <w:rPr>
          <w:rFonts w:ascii="Liberation Sans" w:hAnsi="Liberation Sans"/>
          <w:spacing w:val="-4"/>
          <w:sz w:val="24"/>
          <w:szCs w:val="24"/>
        </w:rPr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pacing w:val="-4"/>
          <w:sz w:val="24"/>
          <w:szCs w:val="24"/>
        </w:rPr>
      </w:pPr>
      <w:r>
        <w:rPr>
          <w:rFonts w:ascii="Liberation Sans" w:hAnsi="Liberation Sans"/>
          <w:spacing w:val="-4"/>
          <w:sz w:val="24"/>
          <w:szCs w:val="24"/>
        </w:rPr>
        <w:t>11. пункт 4.8.4 изложить в следующей редакции:</w:t>
      </w:r>
    </w:p>
    <w:p>
      <w:pPr>
        <w:pStyle w:val="Style33"/>
        <w:spacing w:lineRule="atLeast" w:line="288" w:before="0" w:after="0"/>
        <w:ind w:firstLine="567"/>
        <w:jc w:val="both"/>
        <w:rPr/>
      </w:pPr>
      <w:r>
        <w:rPr>
          <w:rFonts w:ascii="Liberation Sans" w:hAnsi="Liberation Sans"/>
          <w:spacing w:val="-4"/>
          <w:sz w:val="24"/>
          <w:szCs w:val="24"/>
        </w:rPr>
        <w:t xml:space="preserve">«4.8.4. </w:t>
      </w:r>
      <w:r>
        <w:rPr>
          <w:rFonts w:ascii="Liberation Sans" w:hAnsi="Liberation Sans"/>
          <w:sz w:val="24"/>
          <w:szCs w:val="24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8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пунктом 2 части 2 статьи 90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»</w:t>
      </w:r>
      <w:r>
        <w:rPr>
          <w:rFonts w:ascii="Liberation Sans" w:hAnsi="Liberation Sans"/>
          <w:sz w:val="24"/>
          <w:szCs w:val="24"/>
        </w:rPr>
        <w:t>, за исключением случаев, установленных федеральным законом о виде контроля.»</w:t>
      </w:r>
    </w:p>
    <w:p>
      <w:pPr>
        <w:pStyle w:val="Normal"/>
        <w:spacing w:before="280" w:after="28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12. пункт 4.9.1 дополнить подпунктом 5) следующего содержания:</w:t>
      </w:r>
    </w:p>
    <w:p>
      <w:pPr>
        <w:pStyle w:val="Style33"/>
        <w:spacing w:lineRule="atLeast" w:line="288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>
      <w:pPr>
        <w:pStyle w:val="Formattext"/>
        <w:spacing w:before="280" w:after="240"/>
        <w:ind w:firstLine="567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13. пункт 4.4.10 раздела 4 изложить в следующей редакции:</w:t>
      </w:r>
    </w:p>
    <w:p>
      <w:pPr>
        <w:pStyle w:val="Formattext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sz w:val="24"/>
          <w:szCs w:val="24"/>
        </w:rPr>
        <w:t>.»;</w:t>
      </w:r>
    </w:p>
    <w:p>
      <w:pPr>
        <w:pStyle w:val="Normal"/>
        <w:spacing w:before="280" w:after="280"/>
        <w:ind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благоустройства» изложить в следующей редакции:</w:t>
      </w:r>
    </w:p>
    <w:p>
      <w:pPr>
        <w:pStyle w:val="FORMATTEXT1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«Утверждено</w:t>
      </w:r>
    </w:p>
    <w:p>
      <w:pPr>
        <w:pStyle w:val="FORMATTEXT1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решением Совета</w:t>
      </w:r>
    </w:p>
    <w:p>
      <w:pPr>
        <w:pStyle w:val="FORMATTEXT1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муниципального образования</w:t>
      </w:r>
    </w:p>
    <w:p>
      <w:pPr>
        <w:pStyle w:val="FORMATTEXT1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«Иж-Бобьинское сельское поселение»</w:t>
      </w:r>
    </w:p>
    <w:p>
      <w:pPr>
        <w:pStyle w:val="FORMATTEXT1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Агрызского муниципального района</w:t>
      </w:r>
    </w:p>
    <w:p>
      <w:pPr>
        <w:pStyle w:val="FORMATTEXT1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FORMATTEXT1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от 24.02.2025 №54-2</w:t>
      </w:r>
    </w:p>
    <w:p>
      <w:pPr>
        <w:pStyle w:val="FORMATTEXT1"/>
        <w:ind w:firstLine="567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HEADERTEXT1"/>
        <w:ind w:firstLine="567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HEADERTEXT1"/>
        <w:numPr>
          <w:ilvl w:val="0"/>
          <w:numId w:val="0"/>
        </w:numPr>
        <w:ind w:firstLine="567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color w:val="000000"/>
          <w:sz w:val="24"/>
          <w:szCs w:val="24"/>
        </w:rPr>
        <w:t>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>
      <w:pPr>
        <w:pStyle w:val="Normal"/>
        <w:ind w:firstLine="567"/>
        <w:jc w:val="both"/>
        <w:rPr>
          <w:rFonts w:ascii="Liberation Sans" w:hAnsi="Liberation Sans" w:cs="Times New Roman"/>
          <w:b/>
          <w:bCs/>
          <w:color w:val="000000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Style3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FFFFFF" w:val="clear"/>
        </w:rPr>
        <w:t xml:space="preserve">1. Выявление признаков нарушения Правил благоустройства на территории </w:t>
      </w:r>
      <w:r>
        <w:rPr>
          <w:rFonts w:cs="Times New Roman" w:ascii="Liberation Sans" w:hAnsi="Liberation Sans"/>
          <w:sz w:val="24"/>
          <w:szCs w:val="24"/>
          <w:shd w:fill="FFFFFF" w:val="clear"/>
        </w:rPr>
        <w:t>Иж</w:t>
      </w:r>
      <w:r>
        <w:rPr>
          <w:rFonts w:cs="Times New Roman" w:ascii="Liberation Sans" w:hAnsi="Liberation Sans"/>
          <w:sz w:val="24"/>
          <w:szCs w:val="24"/>
        </w:rPr>
        <w:t xml:space="preserve">-Бобьинского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>
      <w:pPr>
        <w:pStyle w:val="Style33"/>
        <w:shd w:fill="FFFFFF" w:val="clear"/>
        <w:spacing w:before="0" w:after="0"/>
        <w:ind w:firstLine="567"/>
        <w:jc w:val="both"/>
        <w:rPr>
          <w:color w:val="212121"/>
          <w:sz w:val="28"/>
          <w:szCs w:val="28"/>
        </w:rPr>
      </w:pPr>
      <w:r>
        <w:rPr>
          <w:rFonts w:ascii="Liberation Sans" w:hAnsi="Liberation Sans"/>
          <w:color w:val="000000"/>
          <w:sz w:val="24"/>
          <w:szCs w:val="24"/>
          <w:shd w:fill="FFFFFF" w:val="clear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</w:t>
      </w:r>
      <w:r>
        <w:rPr>
          <w:rFonts w:ascii="Liberation Sans" w:hAnsi="Liberation Sans"/>
          <w:sz w:val="24"/>
          <w:szCs w:val="24"/>
        </w:rPr>
        <w:t>Иж-Бобьинского сельского поселения Агрызского муниципального района Республики Татарстан</w:t>
      </w:r>
      <w:r>
        <w:rPr>
          <w:rFonts w:ascii="Liberation Sans" w:hAnsi="Liberation Sans"/>
          <w:color w:val="000000"/>
          <w:sz w:val="24"/>
          <w:szCs w:val="24"/>
          <w:shd w:fill="FFFFFF" w:val="clear"/>
        </w:rPr>
        <w:t xml:space="preserve"> и риска причинения вреда (ущерба) охраняемым законом ценностям </w:t>
      </w:r>
      <w:r>
        <w:rPr>
          <w:rFonts w:ascii="Liberation Sans" w:hAnsi="Liberation Sans"/>
          <w:sz w:val="24"/>
          <w:szCs w:val="24"/>
        </w:rPr>
        <w:t>более 2 раз в квартал</w:t>
      </w:r>
      <w:r>
        <w:rPr>
          <w:rFonts w:ascii="Liberation Sans" w:hAnsi="Liberation Sans"/>
          <w:color w:val="000000"/>
          <w:sz w:val="24"/>
          <w:szCs w:val="24"/>
          <w:shd w:fill="FFFFFF" w:val="clear"/>
        </w:rPr>
        <w:t>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лица.».</w:t>
      </w:r>
    </w:p>
    <w:p>
      <w:pPr>
        <w:pStyle w:val="Normal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firstLine="56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1133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5103" w:hanging="0"/>
      <w:jc w:val="right"/>
      <w:outlineLvl w:val="1"/>
    </w:pPr>
    <w:rPr>
      <w:sz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76" w:before="240" w:after="60"/>
      <w:outlineLvl w:val="3"/>
    </w:pPr>
    <w:rPr>
      <w:rFonts w:ascii="Calibri" w:hAnsi="Calibri" w:cs="Calibri"/>
      <w:b/>
      <w:bCs/>
      <w:sz w:val="28"/>
      <w:szCs w:val="28"/>
      <w:lang w:val="ru-RU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lineRule="auto" w:line="276"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lang w:val="ru-RU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autoSpaceDE w:val="false"/>
      <w:ind w:firstLine="5580"/>
      <w:jc w:val="right"/>
      <w:outlineLvl w:val="6"/>
    </w:pPr>
    <w:rPr>
      <w:sz w:val="28"/>
      <w:szCs w:val="22"/>
      <w:lang w:val="ru-RU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ru-RU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autoSpaceDE w:val="false"/>
      <w:jc w:val="both"/>
      <w:outlineLvl w:val="8"/>
    </w:pPr>
    <w:rPr>
      <w:b/>
      <w:szCs w:val="28"/>
      <w:lang w:val="ru-RU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8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61">
    <w:name w:val="Заголовок 6 Знак"/>
    <w:qFormat/>
    <w:rPr>
      <w:rFonts w:ascii="Times New Roman" w:hAnsi="Times New Roman" w:eastAsia="Times New Roman" w:cs="Times New Roman"/>
      <w:b/>
      <w:bCs/>
    </w:rPr>
  </w:style>
  <w:style w:type="character" w:styleId="81">
    <w:name w:val="Заголовок 8 Знак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Style6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2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Style7">
    <w:name w:val="Основной текст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23">
    <w:name w:val="Основной текст 2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Style8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Style9">
    <w:name w:val="Цветовое выделение"/>
    <w:qFormat/>
    <w:rPr>
      <w:b/>
      <w:bCs/>
      <w:color w:val="000080"/>
      <w:sz w:val="22"/>
      <w:szCs w:val="22"/>
    </w:rPr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Без интервала Знак"/>
    <w:qFormat/>
    <w:rPr>
      <w:sz w:val="22"/>
      <w:szCs w:val="22"/>
      <w:lang w:bidi="ar-SA"/>
    </w:rPr>
  </w:style>
  <w:style w:type="character" w:styleId="31">
    <w:name w:val="Заголовок 3 Знак"/>
    <w:qFormat/>
    <w:rPr>
      <w:rFonts w:ascii="Arial" w:hAnsi="Arial" w:eastAsia="Times New Roman" w:cs="Arial"/>
      <w:b/>
      <w:bCs/>
      <w:sz w:val="26"/>
      <w:szCs w:val="26"/>
    </w:rPr>
  </w:style>
  <w:style w:type="character" w:styleId="71">
    <w:name w:val="Заголовок 7 Знак"/>
    <w:qFormat/>
    <w:rPr>
      <w:rFonts w:ascii="Times New Roman" w:hAnsi="Times New Roman" w:eastAsia="Times New Roman" w:cs="Times New Roman"/>
      <w:sz w:val="28"/>
      <w:szCs w:val="22"/>
    </w:rPr>
  </w:style>
  <w:style w:type="character" w:styleId="91">
    <w:name w:val="Заголовок 9 Знак"/>
    <w:qFormat/>
    <w:rPr>
      <w:rFonts w:ascii="Times New Roman" w:hAnsi="Times New Roman" w:eastAsia="Times New Roman" w:cs="Times New Roman"/>
      <w:b/>
      <w:sz w:val="24"/>
      <w:szCs w:val="28"/>
    </w:rPr>
  </w:style>
  <w:style w:type="character" w:styleId="Style12">
    <w:name w:val="Название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2">
    <w:name w:val="Текст выноски Знак1"/>
    <w:qFormat/>
    <w:rPr>
      <w:rFonts w:ascii="Tahoma" w:hAnsi="Tahoma" w:eastAsia="Calibri" w:cs="Tahoma"/>
      <w:sz w:val="16"/>
      <w:szCs w:val="16"/>
    </w:rPr>
  </w:style>
  <w:style w:type="character" w:styleId="Style13">
    <w:name w:val="Нижний колонтитул Знак"/>
    <w:qFormat/>
    <w:rPr>
      <w:rFonts w:ascii="Arial" w:hAnsi="Arial" w:eastAsia="Times New Roman" w:cs="Arial"/>
    </w:rPr>
  </w:style>
  <w:style w:type="character" w:styleId="13">
    <w:name w:val="Нижний колонтитул Знак1"/>
    <w:qFormat/>
    <w:rPr>
      <w:rFonts w:ascii="Times New Roman" w:hAnsi="Times New Roman" w:eastAsia="Times New Roman" w:cs="Times New Roman"/>
      <w:sz w:val="24"/>
    </w:rPr>
  </w:style>
  <w:style w:type="character" w:styleId="Style14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5">
    <w:name w:val="Символ сноски"/>
    <w:qFormat/>
    <w:rPr>
      <w:vertAlign w:val="superscript"/>
    </w:rPr>
  </w:style>
  <w:style w:type="character" w:styleId="14">
    <w:name w:val="Основной текст с отступом Знак1"/>
    <w:qFormat/>
    <w:rPr>
      <w:sz w:val="24"/>
      <w:szCs w:val="24"/>
    </w:rPr>
  </w:style>
  <w:style w:type="character" w:styleId="15">
    <w:name w:val="Верхний колонтитул Знак1"/>
    <w:qFormat/>
    <w:rPr>
      <w:sz w:val="24"/>
      <w:szCs w:val="24"/>
    </w:rPr>
  </w:style>
  <w:style w:type="character" w:styleId="211">
    <w:name w:val="Основной текст с отступом 2 Знак1"/>
    <w:qFormat/>
    <w:rPr>
      <w:sz w:val="24"/>
      <w:szCs w:val="24"/>
    </w:rPr>
  </w:style>
  <w:style w:type="character" w:styleId="41">
    <w:name w:val="Заголовок 4 Знак"/>
    <w:qFormat/>
    <w:rPr>
      <w:rFonts w:eastAsia="Times New Roman"/>
      <w:b/>
      <w:bCs/>
      <w:sz w:val="28"/>
      <w:szCs w:val="28"/>
    </w:rPr>
  </w:style>
  <w:style w:type="character" w:styleId="Style16">
    <w:name w:val="Page Number"/>
    <w:rPr/>
  </w:style>
  <w:style w:type="character" w:styleId="-">
    <w:name w:val="Hyperlink"/>
    <w:rPr>
      <w:color w:val="0000FF"/>
      <w:u w:val="single"/>
    </w:rPr>
  </w:style>
  <w:style w:type="character" w:styleId="Style17">
    <w:name w:val="Гипертекстовая ссылка"/>
    <w:qFormat/>
    <w:rPr>
      <w:color w:val="106BBE"/>
    </w:rPr>
  </w:style>
  <w:style w:type="character" w:styleId="Style18">
    <w:name w:val="Сравнение редакций. Добавленный фрагмент"/>
    <w:qFormat/>
    <w:rPr>
      <w:color w:val="000000"/>
      <w:shd w:fill="C1D7FF" w:val="clear"/>
    </w:rPr>
  </w:style>
  <w:style w:type="character" w:styleId="Apple-converted-space">
    <w:name w:val="apple-converted-space"/>
    <w:qFormat/>
    <w:rPr/>
  </w:style>
  <w:style w:type="character" w:styleId="Style19">
    <w:name w:val="Strong"/>
    <w:qFormat/>
    <w:rPr>
      <w:b/>
      <w:bCs/>
    </w:rPr>
  </w:style>
  <w:style w:type="character" w:styleId="51">
    <w:name w:val="Заголовок 5 Знак"/>
    <w:qFormat/>
    <w:rPr>
      <w:rFonts w:eastAsia="Times New Roman"/>
      <w:b/>
      <w:bCs/>
      <w:i/>
      <w:iCs/>
      <w:sz w:val="26"/>
      <w:szCs w:val="26"/>
    </w:rPr>
  </w:style>
  <w:style w:type="paragraph" w:styleId="Style20">
    <w:name w:val="Заголовок"/>
    <w:basedOn w:val="Normal"/>
    <w:next w:val="Style21"/>
    <w:qFormat/>
    <w:pPr>
      <w:jc w:val="center"/>
    </w:pPr>
    <w:rPr>
      <w:b/>
      <w:bCs/>
      <w:szCs w:val="24"/>
      <w:lang w:val="ru-RU"/>
    </w:rPr>
  </w:style>
  <w:style w:type="paragraph" w:styleId="Style21">
    <w:name w:val="Body Text"/>
    <w:basedOn w:val="Normal"/>
    <w:pPr>
      <w:spacing w:before="0" w:after="120"/>
    </w:pPr>
    <w:rPr>
      <w:lang w:val="ru-RU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Cs w:val="24"/>
      <w:lang w:val="ru-RU"/>
    </w:rPr>
  </w:style>
  <w:style w:type="paragraph" w:styleId="24">
    <w:name w:val="Основной текст с отступом 2"/>
    <w:basedOn w:val="Normal"/>
    <w:qFormat/>
    <w:pPr>
      <w:ind w:firstLine="709"/>
      <w:jc w:val="both"/>
    </w:pPr>
    <w:rPr>
      <w:sz w:val="28"/>
      <w:lang w:val="ru-RU"/>
    </w:rPr>
  </w:style>
  <w:style w:type="paragraph" w:styleId="ConsNormal">
    <w:name w:val="ConsNormal"/>
    <w:qFormat/>
    <w:pPr>
      <w:widowControl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5">
    <w:name w:val="Основной текст 2"/>
    <w:basedOn w:val="Normal"/>
    <w:qFormat/>
    <w:pPr>
      <w:spacing w:lineRule="auto" w:line="480" w:before="0" w:after="120"/>
    </w:pPr>
    <w:rPr>
      <w:lang w:val="ru-RU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7">
    <w:name w:val="Body Text Indent"/>
    <w:basedOn w:val="Normal"/>
    <w:pPr>
      <w:spacing w:before="0" w:after="120"/>
      <w:ind w:left="283" w:hanging="0"/>
    </w:pPr>
    <w:rPr>
      <w:lang w:val="ru-RU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9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30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31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autoSpaceDE w:val="false"/>
      <w:ind w:firstLine="720"/>
      <w:jc w:val="both"/>
    </w:pPr>
    <w:rPr>
      <w:rFonts w:ascii="Arial" w:hAnsi="Arial" w:cs="Arial"/>
      <w:sz w:val="20"/>
      <w:lang w:val="ru-RU"/>
    </w:rPr>
  </w:style>
  <w:style w:type="paragraph" w:styleId="ConsTitle">
    <w:name w:val="ConsTitle"/>
    <w:qFormat/>
    <w:pPr>
      <w:widowControl w:val="false"/>
      <w:autoSpaceDE w:val="false"/>
      <w:bidi w:val="0"/>
      <w:ind w:right="19772" w:hanging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Style32">
    <w:name w:val="Знак"/>
    <w:basedOn w:val="Normal"/>
    <w:qFormat/>
    <w:pPr/>
    <w:rPr>
      <w:rFonts w:ascii="Verdana" w:hAnsi="Verdana" w:cs="Verdana"/>
      <w:sz w:val="20"/>
      <w:lang w:val="en-U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DocList">
    <w:name w:val="ConsPlusDocLis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33">
    <w:name w:val="Обычный (веб)"/>
    <w:basedOn w:val="Normal"/>
    <w:qFormat/>
    <w:pPr>
      <w:spacing w:before="280" w:after="280"/>
    </w:pPr>
    <w:rPr>
      <w:szCs w:val="24"/>
    </w:rPr>
  </w:style>
  <w:style w:type="paragraph" w:styleId="Style34">
    <w:name w:val="Footnote Text"/>
    <w:basedOn w:val="Normal"/>
    <w:pPr/>
    <w:rPr>
      <w:sz w:val="20"/>
      <w:lang w:val="ru-RU"/>
    </w:rPr>
  </w:style>
  <w:style w:type="paragraph" w:styleId="Style35">
    <w:name w:val="Прижатый влево"/>
    <w:basedOn w:val="Normal"/>
    <w:next w:val="Normal"/>
    <w:qFormat/>
    <w:pPr>
      <w:autoSpaceDE w:val="false"/>
    </w:pPr>
    <w:rPr>
      <w:rFonts w:ascii="Arial" w:hAnsi="Arial" w:cs="Arial"/>
      <w:szCs w:val="24"/>
    </w:rPr>
  </w:style>
  <w:style w:type="paragraph" w:styleId="Text">
    <w:name w:val="text"/>
    <w:basedOn w:val="Normal"/>
    <w:qFormat/>
    <w:pPr>
      <w:ind w:firstLine="567"/>
      <w:jc w:val="both"/>
    </w:pPr>
    <w:rPr>
      <w:rFonts w:ascii="Arial" w:hAnsi="Arial" w:cs="Arial"/>
      <w:szCs w:val="24"/>
    </w:rPr>
  </w:style>
  <w:style w:type="paragraph" w:styleId="Style36">
    <w:name w:val="Комментарий"/>
    <w:basedOn w:val="Normal"/>
    <w:next w:val="Normal"/>
    <w:qFormat/>
    <w:pPr>
      <w:autoSpaceDE w:val="false"/>
      <w:spacing w:before="75" w:after="0"/>
      <w:ind w:left="170" w:hanging="0"/>
      <w:jc w:val="both"/>
    </w:pPr>
    <w:rPr>
      <w:rFonts w:ascii="Arial" w:hAnsi="Arial" w:cs="Arial"/>
      <w:color w:val="353842"/>
      <w:szCs w:val="24"/>
      <w:shd w:fill="F0F0F0" w:val="clear"/>
    </w:rPr>
  </w:style>
  <w:style w:type="paragraph" w:styleId="Style37">
    <w:name w:val="Информация об изменениях документа"/>
    <w:basedOn w:val="Style36"/>
    <w:next w:val="Normal"/>
    <w:qFormat/>
    <w:pPr/>
    <w:rPr>
      <w:i/>
      <w:iCs/>
    </w:rPr>
  </w:style>
  <w:style w:type="paragraph" w:styleId="Headertext">
    <w:name w:val="headertext"/>
    <w:basedOn w:val="Normal"/>
    <w:qFormat/>
    <w:pPr>
      <w:spacing w:before="280" w:after="280"/>
    </w:pPr>
    <w:rPr>
      <w:szCs w:val="24"/>
    </w:rPr>
  </w:style>
  <w:style w:type="paragraph" w:styleId="Formattext">
    <w:name w:val="formattext"/>
    <w:basedOn w:val="Normal"/>
    <w:qFormat/>
    <w:pPr>
      <w:spacing w:before="280" w:after="280"/>
    </w:pPr>
    <w:rPr>
      <w:szCs w:val="24"/>
    </w:rPr>
  </w:style>
  <w:style w:type="paragraph" w:styleId="FORMATTEXT1">
    <w:name w:val=".FORMATTEXT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HEADERTEXT1">
    <w:name w:val=".HEADERTEXT"/>
    <w:qFormat/>
    <w:pPr>
      <w:widowControl w:val="false"/>
      <w:autoSpaceDE w:val="false"/>
      <w:bidi w:val="0"/>
    </w:pPr>
    <w:rPr>
      <w:rFonts w:ascii="Arial" w:hAnsi="Arial" w:eastAsia="Times New Roman" w:cs="Arial"/>
      <w:color w:val="2B4279"/>
      <w:sz w:val="20"/>
      <w:szCs w:val="20"/>
      <w:lang w:val="ru-RU" w:bidi="ar-SA" w:eastAsia="zh-CN"/>
    </w:rPr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login.consultant.ru/link/?req=doc&amp;base=LAW&amp;n=495001&amp;dst=101410&amp;field=134&amp;date=05.02.2025" TargetMode="External"/><Relationship Id="rId5" Type="http://schemas.openxmlformats.org/officeDocument/2006/relationships/hyperlink" Target="https://login.consultant.ru/link/?req=doc&amp;base=LAW&amp;n=495001&amp;dst=100637&amp;field=134&amp;date=05.02.2025" TargetMode="External"/><Relationship Id="rId6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hyperlink" Target="https://login.consultant.ru/link/?req=doc&amp;base=LAW&amp;n=495001&amp;dst=101412&amp;field=134&amp;date=05.02.2025" TargetMode="External"/><Relationship Id="rId8" Type="http://schemas.openxmlformats.org/officeDocument/2006/relationships/hyperlink" Target="https://login.consultant.ru/link/?req=doc&amp;base=LAW&amp;n=495001&amp;dst=101175&amp;field=134&amp;date=05.02.2025" TargetMode="External"/><Relationship Id="rId9" Type="http://schemas.openxmlformats.org/officeDocument/2006/relationships/hyperlink" Target="https://login.consultant.ru/link/?req=doc&amp;base=LAW&amp;n=495001&amp;dst=101187&amp;field=134&amp;date=05.02.2025" TargetMode="External"/><Relationship Id="rId10" Type="http://schemas.openxmlformats.org/officeDocument/2006/relationships/hyperlink" Target="https://login.consultant.ru/link/?req=doc&amp;base=LAW&amp;n=495001&amp;dst=9&amp;field=134&amp;date=05.02.2025" TargetMode="External"/><Relationship Id="rId11" Type="http://schemas.openxmlformats.org/officeDocument/2006/relationships/hyperlink" Target="https://login.consultant.ru/link/?req=doc&amp;base=LAW&amp;n=495001&amp;dst=100639&amp;field=134&amp;date=05.02.2025" TargetMode="External"/><Relationship Id="rId12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100639&amp;field=134&amp;date=05.02.2025" TargetMode="External"/><Relationship Id="rId15" Type="http://schemas.openxmlformats.org/officeDocument/2006/relationships/hyperlink" Target="https://login.consultant.ru/link/?req=doc&amp;base=LAW&amp;n=495001&amp;dst=101412&amp;field=134&amp;date=05.02.2025" TargetMode="External"/><Relationship Id="rId16" Type="http://schemas.openxmlformats.org/officeDocument/2006/relationships/hyperlink" Target="https://login.consultant.ru/link/?req=doc&amp;base=LAW&amp;n=495001&amp;dst=101414&amp;field=134&amp;date=05.02.2025" TargetMode="External"/><Relationship Id="rId17" Type="http://schemas.openxmlformats.org/officeDocument/2006/relationships/hyperlink" Target="https://login.consultant.ru/link/?req=doc&amp;base=LAW&amp;n=495001&amp;dst=101443&amp;field=134&amp;date=05.02.2025" TargetMode="External"/><Relationship Id="rId18" Type="http://schemas.openxmlformats.org/officeDocument/2006/relationships/hyperlink" Target="https://login.consultant.ru/link/?req=doc&amp;base=LAW&amp;n=495001&amp;dst=101000&amp;field=134&amp;date=05.02.2025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LibreOffice/7.5.6.2$Linux_X86_64 LibreOffice_project/50$Build-2</Application>
  <AppVersion>15.0000</AppVersion>
  <Pages>4</Pages>
  <Words>1058</Words>
  <Characters>7724</Characters>
  <CharactersWithSpaces>8925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2025-02-25T13:34:00Z</dcterms:created>
  <dc:creator>Customer</dc:creator>
  <dc:description/>
  <cp:keywords/>
  <dc:language>ru-RU</dc:language>
  <cp:lastModifiedBy/>
  <cp:lastPrinted>2024-12-20T09:48:00Z</cp:lastPrinted>
  <dcterms:modified xsi:type="dcterms:W3CDTF">2025-02-25T16:31:35Z</dcterms:modified>
  <cp:revision>3</cp:revision>
  <dc:subject/>
  <dc:title/>
</cp:coreProperties>
</file>