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inline distT="0" distB="0" distL="0" distR="0">
            <wp:extent cx="6520815" cy="15201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792" t="35380" r="8871" b="29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89"/>
        <w:gridCol w:w="1093"/>
        <w:gridCol w:w="1787"/>
        <w:gridCol w:w="1470"/>
        <w:gridCol w:w="992"/>
        <w:gridCol w:w="1141"/>
      </w:tblGrid>
      <w:tr>
        <w:trPr>
          <w:trHeight w:val="156" w:hRule="atLeast"/>
        </w:trPr>
        <w:tc>
          <w:tcPr>
            <w:tcW w:w="791" w:type="dxa"/>
            <w:tcBorders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</w:r>
          </w:p>
        </w:tc>
        <w:tc>
          <w:tcPr>
            <w:tcW w:w="2089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24.02.2025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</w:r>
          </w:p>
        </w:tc>
        <w:tc>
          <w:tcPr>
            <w:tcW w:w="1787" w:type="dxa"/>
            <w:vMerge w:val="restart"/>
            <w:tcBorders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 w:eastAsia="Calibri"/>
                <w:sz w:val="28"/>
                <w:szCs w:val="28"/>
                <w:lang w:val="be-BY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val="be-BY"/>
              </w:rPr>
              <w:t>с. Кулегаш</w:t>
            </w:r>
          </w:p>
        </w:tc>
        <w:tc>
          <w:tcPr>
            <w:tcW w:w="1470" w:type="dxa"/>
            <w:tcBorders/>
          </w:tcPr>
          <w:p>
            <w:pPr>
              <w:pStyle w:val="Normal"/>
              <w:spacing w:before="120" w:after="0"/>
              <w:jc w:val="right"/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59-1</w:t>
            </w:r>
          </w:p>
        </w:tc>
        <w:tc>
          <w:tcPr>
            <w:tcW w:w="1141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  <w:tr>
        <w:trPr>
          <w:trHeight w:val="50" w:hRule="atLeast"/>
        </w:trPr>
        <w:tc>
          <w:tcPr>
            <w:tcW w:w="791" w:type="dxa"/>
            <w:tcBorders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</w:r>
          </w:p>
        </w:tc>
        <w:tc>
          <w:tcPr>
            <w:tcW w:w="208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</w:r>
          </w:p>
        </w:tc>
        <w:tc>
          <w:tcPr>
            <w:tcW w:w="1093" w:type="dxa"/>
            <w:tcBorders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</w:r>
          </w:p>
        </w:tc>
        <w:tc>
          <w:tcPr>
            <w:tcW w:w="1787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W w:w="1141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</w:tr>
    </w:tbl>
    <w:tbl>
      <w:tblPr>
        <w:tblStyle w:val="a5"/>
        <w:tblW w:w="66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29"/>
      </w:tblGrid>
      <w:tr>
        <w:trPr/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/>
              <w:spacing w:beforeAutospacing="0" w:before="0" w:afterAutospacing="0" w:after="0"/>
              <w:jc w:val="both"/>
              <w:rPr>
                <w:color w:val="000000"/>
                <w:kern w:val="0"/>
                <w:lang w:val="ru-RU" w:eastAsia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внесении изменений в решение Совета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Кулегашского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сельского поселения Агрызского муниципального района от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16.05.2022 № 17-1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«Об осуществлении муниципального контроля в сфере благоустройства на территории муниципального образования «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Кулегашское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сельское поселение»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от 6 октября 2003 года № 131-ФЗ «Об общих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принципах организации местного самоуправления в Российской Федерации»,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Совет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Кулегашского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1.Утвердить прилагаемые изменения в решение Совета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Кулегашского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сельского поселения Агрызского 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16.05.2022 № 17-1 </w:t>
      </w:r>
      <w:r>
        <w:rPr>
          <w:rFonts w:cs="Times New Roman" w:ascii="Times New Roman" w:hAnsi="Times New Roman"/>
          <w:color w:val="000000"/>
          <w:sz w:val="28"/>
          <w:szCs w:val="28"/>
        </w:rPr>
        <w:t>«Об осуществлении муниципального контроля в сфере благоустройства на территории муниципального образования «</w:t>
      </w:r>
      <w:r>
        <w:rPr>
          <w:rFonts w:cs="Times New Roman" w:ascii="Times New Roman" w:hAnsi="Times New Roman"/>
          <w:color w:val="000000"/>
          <w:sz w:val="28"/>
          <w:szCs w:val="28"/>
        </w:rPr>
        <w:t>Кулегашское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сельское поселение»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/>
          <w:color w:val="000000"/>
          <w:sz w:val="28"/>
          <w:szCs w:val="28"/>
        </w:rPr>
        <w:t>://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разместить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 xml:space="preserve">по веб-адресу: </w:t>
      </w:r>
      <w:hyperlink r:id="rId3"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-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>
        <w:rPr>
          <w:rFonts w:ascii="Times New Roman" w:hAnsi="Times New Roman"/>
          <w:color w:val="000000"/>
          <w:sz w:val="28"/>
          <w:szCs w:val="28"/>
        </w:rPr>
        <w:t xml:space="preserve">самоуправления </w:t>
      </w:r>
      <w:r>
        <w:rPr>
          <w:rFonts w:ascii="Times New Roman" w:hAnsi="Times New Roman"/>
          <w:color w:val="000000"/>
          <w:sz w:val="28"/>
          <w:szCs w:val="28"/>
        </w:rPr>
        <w:t>Кулегашского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Настоящее решение вступает в силу со дня его опубликования.</w:t>
      </w:r>
    </w:p>
    <w:p>
      <w:pPr>
        <w:pStyle w:val="ConsPlusNormal"/>
        <w:tabs>
          <w:tab w:val="clear" w:pos="708"/>
          <w:tab w:val="left" w:pos="1134" w:leader="none"/>
        </w:tabs>
        <w:ind w:left="709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Контроль за исполнением настоящего решения оставляю за собой. </w:t>
      </w:r>
    </w:p>
    <w:tbl>
      <w:tblPr>
        <w:tblStyle w:val="a5"/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2"/>
        <w:gridCol w:w="248"/>
      </w:tblGrid>
      <w:tr>
        <w:trPr/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Председатель Совета,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Глава сельского поселения                                                                 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В.А.Николаев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Утверждены</w:t>
      </w:r>
    </w:p>
    <w:p>
      <w:pPr>
        <w:pStyle w:val="Normal"/>
        <w:spacing w:lineRule="auto" w:line="240" w:before="0" w:after="0"/>
        <w:ind w:firstLine="567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решением Совета </w:t>
      </w:r>
      <w:r>
        <w:rPr>
          <w:rFonts w:cs="Times New Roman" w:ascii="Times New Roman" w:hAnsi="Times New Roman"/>
          <w:color w:val="000000"/>
          <w:sz w:val="24"/>
          <w:szCs w:val="24"/>
        </w:rPr>
        <w:t>Кулегашского</w:t>
      </w:r>
    </w:p>
    <w:p>
      <w:pPr>
        <w:pStyle w:val="Normal"/>
        <w:spacing w:lineRule="auto" w:line="240" w:before="0" w:after="0"/>
        <w:ind w:firstLine="567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сельского поселения Агрызского</w:t>
      </w:r>
    </w:p>
    <w:p>
      <w:pPr>
        <w:pStyle w:val="Normal"/>
        <w:spacing w:lineRule="auto" w:line="240" w:before="0" w:after="0"/>
        <w:ind w:firstLine="567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firstLine="567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firstLine="567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от 24.02.2025 г. № </w:t>
      </w:r>
      <w:r>
        <w:rPr>
          <w:rFonts w:cs="Times New Roman" w:ascii="Times New Roman" w:hAnsi="Times New Roman"/>
          <w:color w:val="000000"/>
          <w:sz w:val="24"/>
          <w:szCs w:val="24"/>
        </w:rPr>
        <w:t>59-1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ИЗМЕНЕНИЯ,</w:t>
      </w:r>
    </w:p>
    <w:p>
      <w:pPr>
        <w:pStyle w:val="Normal"/>
        <w:spacing w:lineRule="auto" w:line="240" w:before="0" w:after="0"/>
        <w:ind w:firstLine="567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которые вносятся в решение Совета </w:t>
      </w:r>
      <w:r>
        <w:rPr>
          <w:rFonts w:cs="Times New Roman" w:ascii="Times New Roman" w:hAnsi="Times New Roman"/>
          <w:color w:val="000000"/>
          <w:sz w:val="28"/>
          <w:szCs w:val="28"/>
        </w:rPr>
        <w:t>Кулегашского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сельского поселения Агрызского муниципального района Республики Татарстан </w:t>
      </w:r>
      <w:r>
        <w:rPr>
          <w:rFonts w:cs="Times New Roman" w:ascii="Times New Roman" w:hAnsi="Times New Roman"/>
          <w:color w:val="000000"/>
          <w:sz w:val="28"/>
          <w:szCs w:val="28"/>
        </w:rPr>
        <w:t>от 16.05.2022 № 17-1 «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 осуществлении муниципального контроля в сфере благоустройства на территории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«Кулегашское </w:t>
      </w:r>
      <w:r>
        <w:rPr>
          <w:rFonts w:cs="Times New Roman" w:ascii="Times New Roman" w:hAnsi="Times New Roman"/>
          <w:color w:val="000000"/>
          <w:sz w:val="28"/>
          <w:szCs w:val="28"/>
        </w:rPr>
        <w:t>сельское поселение»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hanging="11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Пункт 1.2 раздела 1 дополнить абзацами 4-5 следующего содержания: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«соблюдение (реализация) требований, содержащихся в разрешительных документах;</w:t>
      </w:r>
    </w:p>
    <w:p>
      <w:pPr>
        <w:pStyle w:val="NormalWeb"/>
        <w:spacing w:beforeAutospacing="0" w:before="168" w:afterAutospacing="0" w:after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Федерации;»;</w:t>
      </w:r>
    </w:p>
    <w:p>
      <w:pPr>
        <w:pStyle w:val="NormalWeb"/>
        <w:spacing w:lineRule="atLeast" w:line="288" w:beforeAutospacing="0" w:before="168" w:afterAutospacing="0" w:after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2. в абзаце 2 пункта 1.2 раздела 1 слова « , организация благоустройства в соответствии с Правилами» исключить;</w:t>
      </w:r>
    </w:p>
    <w:p>
      <w:pPr>
        <w:pStyle w:val="Headertext"/>
        <w:spacing w:before="280" w:afterAutospacing="0" w:after="240"/>
        <w:ind w:left="72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3. пункт 3.5.1 раздела 3 изложить в следующей редакции:</w:t>
      </w:r>
      <w:bookmarkStart w:id="0" w:name="P009E"/>
      <w:bookmarkStart w:id="1" w:name="P009B"/>
      <w:bookmarkEnd w:id="0"/>
      <w:bookmarkEnd w:id="1"/>
    </w:p>
    <w:p>
      <w:pPr>
        <w:pStyle w:val="Headertext"/>
        <w:spacing w:before="280" w:afterAutospacing="0" w:after="2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<w:br/>
      </w:r>
      <w:bookmarkStart w:id="2" w:name="P00A0"/>
      <w:bookmarkEnd w:id="2"/>
      <w:r>
        <w:rPr>
          <w:color w:val="000000"/>
          <w:sz w:val="28"/>
          <w:szCs w:val="28"/>
        </w:rPr>
        <w:t xml:space="preserve">     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<w:br/>
      </w:r>
      <w:bookmarkStart w:id="3" w:name="P00A2"/>
      <w:bookmarkEnd w:id="3"/>
      <w:r>
        <w:rPr>
          <w:color w:val="000000"/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<w:br/>
      </w:r>
      <w:bookmarkStart w:id="4" w:name="P00A4"/>
      <w:bookmarkEnd w:id="4"/>
      <w:r>
        <w:rPr>
          <w:color w:val="000000"/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.»;</w:t>
      </w:r>
    </w:p>
    <w:p>
      <w:pPr>
        <w:pStyle w:val="Formattext"/>
        <w:numPr>
          <w:ilvl w:val="0"/>
          <w:numId w:val="2"/>
        </w:numPr>
        <w:spacing w:beforeAutospacing="0" w:before="0" w:afterAutospacing="0" w:after="0"/>
        <w:ind w:left="142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>
      <w:pPr>
        <w:pStyle w:val="Formattext"/>
        <w:spacing w:beforeAutospacing="0" w:before="0" w:afterAutospacing="0" w:after="0"/>
        <w:ind w:left="426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851" w:leader="none"/>
        </w:tabs>
        <w:spacing w:lineRule="atLeast" w:line="288" w:beforeAutospacing="0" w:before="0" w:afterAutospacing="0" w:after="0"/>
        <w:ind w:left="709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пункт 4.5.3 дополнить словами следующего содержания:</w:t>
      </w:r>
    </w:p>
    <w:p>
      <w:pPr>
        <w:pStyle w:val="NormalWeb"/>
        <w:spacing w:lineRule="atLeast" w:line="288"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«, за исключением случаев ее проведения в соответствии с </w:t>
      </w:r>
      <w:hyperlink r:id="rId4">
        <w:r>
          <w:rPr>
            <w:rStyle w:val="-"/>
            <w:color w:val="000000"/>
            <w:sz w:val="28"/>
            <w:szCs w:val="28"/>
            <w:u w:val="none"/>
          </w:rPr>
          <w:t>пунктами 3</w:t>
        </w:r>
      </w:hyperlink>
      <w:r>
        <w:rPr>
          <w:color w:val="000000"/>
          <w:sz w:val="28"/>
          <w:szCs w:val="28"/>
        </w:rPr>
        <w:t xml:space="preserve">, </w:t>
      </w:r>
      <w:hyperlink r:id="rId5">
        <w:r>
          <w:rPr>
            <w:rStyle w:val="-"/>
            <w:color w:val="000000"/>
            <w:sz w:val="28"/>
            <w:szCs w:val="28"/>
            <w:u w:val="none"/>
          </w:rPr>
          <w:t>4</w:t>
        </w:r>
      </w:hyperlink>
      <w:r>
        <w:rPr>
          <w:color w:val="000000"/>
          <w:sz w:val="28"/>
          <w:szCs w:val="28"/>
        </w:rPr>
        <w:t xml:space="preserve">, </w:t>
      </w:r>
      <w:hyperlink r:id="rId6">
        <w:r>
          <w:rPr>
            <w:rStyle w:val="-"/>
            <w:color w:val="000000"/>
            <w:sz w:val="28"/>
            <w:szCs w:val="28"/>
            <w:u w:val="none"/>
          </w:rPr>
          <w:t>6</w:t>
        </w:r>
      </w:hyperlink>
      <w:r>
        <w:rPr>
          <w:color w:val="000000"/>
          <w:sz w:val="28"/>
          <w:szCs w:val="28"/>
        </w:rPr>
        <w:t xml:space="preserve">, </w:t>
      </w:r>
      <w:hyperlink r:id="rId7">
        <w:r>
          <w:rPr>
            <w:rStyle w:val="-"/>
            <w:color w:val="000000"/>
            <w:sz w:val="28"/>
            <w:szCs w:val="28"/>
            <w:u w:val="none"/>
          </w:rPr>
          <w:t>8 части 1</w:t>
        </w:r>
      </w:hyperlink>
      <w:r>
        <w:rPr>
          <w:color w:val="000000"/>
          <w:sz w:val="28"/>
          <w:szCs w:val="28"/>
        </w:rPr>
        <w:t xml:space="preserve">, </w:t>
      </w:r>
      <w:hyperlink r:id="rId8">
        <w:r>
          <w:rPr>
            <w:rStyle w:val="-"/>
            <w:color w:val="000000"/>
            <w:sz w:val="28"/>
            <w:szCs w:val="28"/>
            <w:u w:val="none"/>
          </w:rPr>
          <w:t>частью 3 статьи 57</w:t>
        </w:r>
      </w:hyperlink>
      <w:r>
        <w:rPr>
          <w:color w:val="000000"/>
          <w:sz w:val="28"/>
          <w:szCs w:val="28"/>
        </w:rPr>
        <w:t xml:space="preserve"> и </w:t>
      </w:r>
      <w:hyperlink r:id="rId9">
        <w:r>
          <w:rPr>
            <w:rStyle w:val="-"/>
            <w:color w:val="000000"/>
            <w:sz w:val="28"/>
            <w:szCs w:val="28"/>
            <w:u w:val="none"/>
          </w:rPr>
          <w:t>частями 12</w:t>
        </w:r>
      </w:hyperlink>
      <w:r>
        <w:rPr>
          <w:color w:val="000000"/>
          <w:sz w:val="28"/>
          <w:szCs w:val="28"/>
        </w:rPr>
        <w:t xml:space="preserve"> и </w:t>
      </w:r>
      <w:hyperlink r:id="rId10">
        <w:r>
          <w:rPr>
            <w:rStyle w:val="-"/>
            <w:color w:val="000000"/>
            <w:sz w:val="28"/>
            <w:szCs w:val="28"/>
            <w:u w:val="none"/>
          </w:rPr>
          <w:t>12.1 статьи 66</w:t>
        </w:r>
      </w:hyperlink>
      <w:r>
        <w:rPr>
          <w:color w:val="000000"/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»;.</w:t>
      </w:r>
    </w:p>
    <w:p>
      <w:pPr>
        <w:pStyle w:val="NormalWeb"/>
        <w:spacing w:lineRule="atLeast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6. абзац 2 пункта 4.5.6 дополнить словами:</w:t>
      </w:r>
    </w:p>
    <w:p>
      <w:pPr>
        <w:pStyle w:val="NormalWeb"/>
        <w:spacing w:lineRule="atLeast" w:line="288"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1">
        <w:r>
          <w:rPr>
            <w:rStyle w:val="-"/>
            <w:color w:val="000000"/>
            <w:sz w:val="28"/>
            <w:szCs w:val="28"/>
            <w:u w:val="none"/>
          </w:rPr>
          <w:t>пункт 6 части 1 статьи 57</w:t>
        </w:r>
      </w:hyperlink>
      <w:r>
        <w:rPr>
          <w:color w:val="000000"/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>
        <w:rPr>
          <w:color w:val="000000"/>
          <w:sz w:val="28"/>
          <w:szCs w:val="28"/>
        </w:rPr>
        <w:t>и которая для микропредприятия не может продолжаться более сорока часов.»;</w:t>
      </w:r>
    </w:p>
    <w:p>
      <w:pPr>
        <w:pStyle w:val="NormalWeb"/>
        <w:spacing w:lineRule="atLeast" w:line="288"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numPr>
          <w:ilvl w:val="0"/>
          <w:numId w:val="3"/>
        </w:numPr>
        <w:spacing w:lineRule="atLeast" w:line="288" w:beforeAutospacing="0" w:before="0" w:afterAutospacing="0" w:after="0"/>
        <w:jc w:val="both"/>
        <w:rPr>
          <w:color w:val="000000"/>
        </w:rPr>
      </w:pPr>
      <w:r>
        <w:rPr>
          <w:color w:val="000000"/>
          <w:sz w:val="28"/>
          <w:szCs w:val="28"/>
        </w:rPr>
        <w:t>пункт 4.5.7 изложить в следующей редакции:</w:t>
      </w:r>
    </w:p>
    <w:p>
      <w:pPr>
        <w:pStyle w:val="Formattext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«4.5.7. Перечень допустимых контрольных действий в ходе выездной проверки: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1) осмотр;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2) досмотр;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3) опрос;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4) получение письменных объяснений;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5) истребование документов;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6) отбор проб (образцов);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7) инструментальное обследование;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8) испытание;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9) экспертиза;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10) эксперимент.» ;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8.  пункт 4.6.2 дополнить подпунктом д) следующего содержания: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«д) инструментальное обследование.»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9. пункт 4.6.5 изложить в следующей редакции:</w:t>
      </w:r>
    </w:p>
    <w:p>
      <w:pPr>
        <w:pStyle w:val="Formattext"/>
        <w:spacing w:beforeAutospacing="0" w:before="0" w:afterAutospacing="0" w:after="0"/>
        <w:ind w:firstLine="480"/>
        <w:rPr>
          <w:color w:val="000000"/>
        </w:rPr>
      </w:pPr>
      <w:r>
        <w:rPr>
          <w:color w:val="000000"/>
          <w:sz w:val="28"/>
          <w:szCs w:val="28"/>
        </w:rPr>
        <w:t>«4.6.5. Перечень допустимых контрольных действий в ходе рейдового осмотра: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1) осмотр;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2) досмотр;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3) опрос;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4) получение письменных объяснений;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5) истребование документов;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6) отбор проб (образцов);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7) инструментальное обследование;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8) испытание;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9) экспертиза;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10) эксперимент.»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10. пункт 4.6.8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color w:val="000000"/>
          <w:sz w:val="28"/>
          <w:szCs w:val="28"/>
        </w:rPr>
        <w:t xml:space="preserve">«4.6.8.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2">
        <w:r>
          <w:rPr>
            <w:rStyle w:val="-"/>
            <w:color w:val="000000"/>
            <w:sz w:val="28"/>
            <w:szCs w:val="28"/>
            <w:u w:val="none"/>
          </w:rPr>
          <w:t>пунктами 3</w:t>
        </w:r>
      </w:hyperlink>
      <w:r>
        <w:rPr>
          <w:color w:val="000000"/>
          <w:sz w:val="28"/>
          <w:szCs w:val="28"/>
        </w:rPr>
        <w:t xml:space="preserve">, </w:t>
      </w:r>
      <w:hyperlink r:id="rId13">
        <w:r>
          <w:rPr>
            <w:rStyle w:val="-"/>
            <w:color w:val="000000"/>
            <w:sz w:val="28"/>
            <w:szCs w:val="28"/>
            <w:u w:val="none"/>
          </w:rPr>
          <w:t>4</w:t>
        </w:r>
      </w:hyperlink>
      <w:r>
        <w:rPr>
          <w:color w:val="000000"/>
          <w:sz w:val="28"/>
          <w:szCs w:val="28"/>
        </w:rPr>
        <w:t xml:space="preserve">, </w:t>
      </w:r>
      <w:hyperlink r:id="rId14">
        <w:r>
          <w:rPr>
            <w:rStyle w:val="-"/>
            <w:color w:val="000000"/>
            <w:sz w:val="28"/>
            <w:szCs w:val="28"/>
            <w:u w:val="none"/>
          </w:rPr>
          <w:t>6</w:t>
        </w:r>
      </w:hyperlink>
      <w:r>
        <w:rPr>
          <w:color w:val="000000"/>
          <w:sz w:val="28"/>
          <w:szCs w:val="28"/>
        </w:rPr>
        <w:t xml:space="preserve">, </w:t>
      </w:r>
      <w:hyperlink r:id="rId15">
        <w:r>
          <w:rPr>
            <w:rStyle w:val="-"/>
            <w:color w:val="000000"/>
            <w:sz w:val="28"/>
            <w:szCs w:val="28"/>
            <w:u w:val="none"/>
          </w:rPr>
          <w:t>8 части 1</w:t>
        </w:r>
      </w:hyperlink>
      <w:r>
        <w:rPr>
          <w:color w:val="000000"/>
          <w:sz w:val="28"/>
          <w:szCs w:val="28"/>
        </w:rPr>
        <w:t xml:space="preserve">, </w:t>
      </w:r>
      <w:hyperlink r:id="rId16">
        <w:r>
          <w:rPr>
            <w:rStyle w:val="-"/>
            <w:color w:val="000000"/>
            <w:sz w:val="28"/>
            <w:szCs w:val="28"/>
            <w:u w:val="none"/>
          </w:rPr>
          <w:t>частью 3 статьи 57</w:t>
        </w:r>
      </w:hyperlink>
      <w:r>
        <w:rPr>
          <w:color w:val="000000"/>
          <w:sz w:val="28"/>
          <w:szCs w:val="28"/>
        </w:rPr>
        <w:t xml:space="preserve"> и </w:t>
      </w:r>
      <w:hyperlink r:id="rId17">
        <w:r>
          <w:rPr>
            <w:rStyle w:val="-"/>
            <w:color w:val="000000"/>
            <w:sz w:val="28"/>
            <w:szCs w:val="28"/>
            <w:u w:val="none"/>
          </w:rPr>
          <w:t>частью 12 статьи 66</w:t>
        </w:r>
      </w:hyperlink>
      <w:r>
        <w:rPr>
          <w:color w:val="000000"/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11. пункт 4.8.4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color w:val="000000"/>
          <w:spacing w:val="-4"/>
          <w:sz w:val="28"/>
          <w:szCs w:val="28"/>
        </w:rPr>
        <w:t xml:space="preserve">«4.8.4. </w:t>
      </w:r>
      <w:r>
        <w:rPr>
          <w:color w:val="000000"/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18">
        <w:r>
          <w:rPr>
            <w:rStyle w:val="-"/>
            <w:color w:val="000000"/>
            <w:sz w:val="28"/>
            <w:szCs w:val="28"/>
            <w:u w:val="none"/>
          </w:rPr>
          <w:t>пунктом 2 части 2 статьи 90</w:t>
        </w:r>
      </w:hyperlink>
      <w:r>
        <w:rPr>
          <w:color w:val="000000"/>
          <w:sz w:val="28"/>
          <w:szCs w:val="28"/>
        </w:rPr>
        <w:t xml:space="preserve">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за исключением случаев, установленных федеральным законом о виде контроля.»</w:t>
      </w:r>
    </w:p>
    <w:p>
      <w:pPr>
        <w:pStyle w:val="Normal"/>
        <w:spacing w:lineRule="auto" w:line="240" w:beforeAutospacing="1" w:afterAutospacing="1"/>
        <w:ind w:firstLine="54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12. пункт 4.9.1 дополнить подпунктом 5) следующего содержания: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контроля.»</w:t>
      </w:r>
    </w:p>
    <w:p>
      <w:pPr>
        <w:pStyle w:val="Formattext"/>
        <w:spacing w:before="280" w:afterAutospacing="0" w:after="240"/>
        <w:ind w:firstLine="480"/>
        <w:rPr>
          <w:color w:val="000000"/>
        </w:rPr>
      </w:pPr>
      <w:r>
        <w:rPr>
          <w:color w:val="000000"/>
          <w:sz w:val="28"/>
          <w:szCs w:val="28"/>
        </w:rPr>
        <w:t>13. пункт 4.4.10 раздела 4 изложить в следующей редакции:</w:t>
      </w:r>
    </w:p>
    <w:p>
      <w:pPr>
        <w:pStyle w:val="Formattext"/>
        <w:spacing w:before="280" w:after="280"/>
        <w:ind w:firstLine="48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«4.4.10.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</w:t>
      </w:r>
      <w:r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.»;</w:t>
      </w:r>
    </w:p>
    <w:p>
      <w:pPr>
        <w:pStyle w:val="Normal"/>
        <w:spacing w:lineRule="auto" w:line="240" w:beforeAutospacing="1" w:afterAutospacing="1"/>
        <w:ind w:firstLine="48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14. Приложение «Перечень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благоустройства» изложить в следующей редакции:</w:t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color w:val="000000"/>
        </w:rPr>
      </w:r>
    </w:p>
    <w:p>
      <w:pPr>
        <w:pStyle w:val="FORMATTEXT1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«Утверждено»</w:t>
      </w:r>
    </w:p>
    <w:p>
      <w:pPr>
        <w:pStyle w:val="FORMATTEXT1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решением Совета</w:t>
      </w:r>
    </w:p>
    <w:p>
      <w:pPr>
        <w:pStyle w:val="FORMATTEXT1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FORMATTEXT1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Кулегашское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сельское поселение»</w:t>
      </w:r>
    </w:p>
    <w:p>
      <w:pPr>
        <w:pStyle w:val="FORMATTEXT1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Агрызского муниципального района</w:t>
      </w:r>
    </w:p>
    <w:p>
      <w:pPr>
        <w:pStyle w:val="FORMATTEXT1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Республики Татарстан</w:t>
      </w:r>
    </w:p>
    <w:p>
      <w:pPr>
        <w:pStyle w:val="FORMATTEXT1"/>
        <w:jc w:val="righ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>24.02.2025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№ </w:t>
      </w:r>
      <w:r>
        <w:rPr>
          <w:rFonts w:cs="Times New Roman" w:ascii="Times New Roman" w:hAnsi="Times New Roman"/>
          <w:color w:val="000000"/>
          <w:sz w:val="28"/>
          <w:szCs w:val="28"/>
        </w:rPr>
        <w:t>59-1</w:t>
      </w:r>
    </w:p>
    <w:p>
      <w:pPr>
        <w:pStyle w:val="FORMATTEXT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HEADERTEXT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HEADERTEXT1"/>
        <w:numPr>
          <w:ilvl w:val="0"/>
          <w:numId w:val="0"/>
        </w:numPr>
        <w:jc w:val="center"/>
        <w:outlineLvl w:val="4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Spacing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1. Выявление признаков нарушения Правил благоустройства на территории  </w:t>
      </w:r>
      <w:r>
        <w:rPr>
          <w:rFonts w:ascii="Times New Roman" w:hAnsi="Times New Roman"/>
          <w:color w:val="000000"/>
          <w:sz w:val="28"/>
          <w:szCs w:val="28"/>
        </w:rPr>
        <w:t>Кулегашского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Агрызского муниципального района Республики Татарстан более 2 раз в квартал.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shd w:fill="FFFFFF" w:val="clear"/>
        </w:rPr>
        <w:t xml:space="preserve">2.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r>
        <w:rPr>
          <w:color w:val="000000"/>
          <w:sz w:val="28"/>
          <w:szCs w:val="28"/>
        </w:rPr>
        <w:t>Кулегашского</w:t>
      </w:r>
      <w:r>
        <w:rPr>
          <w:color w:val="000000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>
        <w:rPr>
          <w:color w:val="000000"/>
          <w:sz w:val="28"/>
          <w:szCs w:val="28"/>
          <w:shd w:fill="FFFFFF" w:val="clear"/>
        </w:rPr>
        <w:t xml:space="preserve"> и риска причинения вреда (ущерба) охраняемым законом ценностям </w:t>
      </w:r>
      <w:r>
        <w:rPr>
          <w:color w:val="000000"/>
          <w:sz w:val="28"/>
          <w:szCs w:val="28"/>
        </w:rPr>
        <w:t>более 2 раз в квартал</w:t>
      </w:r>
      <w:r>
        <w:rPr>
          <w:color w:val="000000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ind w:firstLine="48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 от контролируемого лица.».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bookmarkStart w:id="5" w:name="_GoBack"/>
      <w:bookmarkStart w:id="6" w:name="_GoBack"/>
      <w:bookmarkEnd w:id="6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069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10" w:customStyle="1">
    <w:name w:val="s_10"/>
    <w:basedOn w:val="DefaultParagraphFont"/>
    <w:qFormat/>
    <w:rsid w:val="00f24827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f2482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f248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fd7df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HEADERTEXT1" w:customStyle="1">
    <w:name w:val=".HEADERTEXT"/>
    <w:uiPriority w:val="99"/>
    <w:qFormat/>
    <w:rsid w:val="00dd2678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70f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gryz.tatarstan.ru/" TargetMode="External"/><Relationship Id="rId4" Type="http://schemas.openxmlformats.org/officeDocument/2006/relationships/hyperlink" Target="https://login.consultant.ru/link/?req=doc&amp;base=LAW&amp;n=495001&amp;dst=101410&amp;field=134&amp;date=05.02.2025" TargetMode="External"/><Relationship Id="rId5" Type="http://schemas.openxmlformats.org/officeDocument/2006/relationships/hyperlink" Target="https://login.consultant.ru/link/?req=doc&amp;base=LAW&amp;n=495001&amp;dst=100637&amp;field=134&amp;date=05.02.2025" TargetMode="External"/><Relationship Id="rId6" Type="http://schemas.openxmlformats.org/officeDocument/2006/relationships/hyperlink" Target="https://login.consultant.ru/link/?req=doc&amp;base=LAW&amp;n=495001&amp;dst=100639&amp;field=134&amp;date=05.02.2025" TargetMode="External"/><Relationship Id="rId7" Type="http://schemas.openxmlformats.org/officeDocument/2006/relationships/hyperlink" Target="https://login.consultant.ru/link/?req=doc&amp;base=LAW&amp;n=495001&amp;dst=101412&amp;field=134&amp;date=05.02.2025" TargetMode="External"/><Relationship Id="rId8" Type="http://schemas.openxmlformats.org/officeDocument/2006/relationships/hyperlink" Target="https://login.consultant.ru/link/?req=doc&amp;base=LAW&amp;n=495001&amp;dst=101175&amp;field=134&amp;date=05.02.2025" TargetMode="External"/><Relationship Id="rId9" Type="http://schemas.openxmlformats.org/officeDocument/2006/relationships/hyperlink" Target="https://login.consultant.ru/link/?req=doc&amp;base=LAW&amp;n=495001&amp;dst=101187&amp;field=134&amp;date=05.02.2025" TargetMode="External"/><Relationship Id="rId10" Type="http://schemas.openxmlformats.org/officeDocument/2006/relationships/hyperlink" Target="https://login.consultant.ru/link/?req=doc&amp;base=LAW&amp;n=495001&amp;dst=9&amp;field=134&amp;date=05.02.2025" TargetMode="External"/><Relationship Id="rId11" Type="http://schemas.openxmlformats.org/officeDocument/2006/relationships/hyperlink" Target="https://login.consultant.ru/link/?req=doc&amp;base=LAW&amp;n=495001&amp;dst=100639&amp;field=134&amp;date=05.02.2025" TargetMode="External"/><Relationship Id="rId12" Type="http://schemas.openxmlformats.org/officeDocument/2006/relationships/hyperlink" Target="https://login.consultant.ru/link/?req=doc&amp;base=LAW&amp;n=495001&amp;dst=101410&amp;field=134&amp;date=05.02.2025" TargetMode="External"/><Relationship Id="rId13" Type="http://schemas.openxmlformats.org/officeDocument/2006/relationships/hyperlink" Target="https://login.consultant.ru/link/?req=doc&amp;base=LAW&amp;n=495001&amp;dst=100637&amp;field=134&amp;date=05.02.2025" TargetMode="External"/><Relationship Id="rId14" Type="http://schemas.openxmlformats.org/officeDocument/2006/relationships/hyperlink" Target="https://login.consultant.ru/link/?req=doc&amp;base=LAW&amp;n=495001&amp;dst=100639&amp;field=134&amp;date=05.02.2025" TargetMode="External"/><Relationship Id="rId15" Type="http://schemas.openxmlformats.org/officeDocument/2006/relationships/hyperlink" Target="https://login.consultant.ru/link/?req=doc&amp;base=LAW&amp;n=495001&amp;dst=101412&amp;field=134&amp;date=05.02.2025" TargetMode="External"/><Relationship Id="rId16" Type="http://schemas.openxmlformats.org/officeDocument/2006/relationships/hyperlink" Target="https://login.consultant.ru/link/?req=doc&amp;base=LAW&amp;n=495001&amp;dst=101414&amp;field=134&amp;date=05.02.2025" TargetMode="External"/><Relationship Id="rId17" Type="http://schemas.openxmlformats.org/officeDocument/2006/relationships/hyperlink" Target="https://login.consultant.ru/link/?req=doc&amp;base=LAW&amp;n=495001&amp;dst=101443&amp;field=134&amp;date=05.02.2025" TargetMode="External"/><Relationship Id="rId18" Type="http://schemas.openxmlformats.org/officeDocument/2006/relationships/hyperlink" Target="https://login.consultant.ru/link/?req=doc&amp;base=LAW&amp;n=495001&amp;dst=101000&amp;field=134&amp;date=05.02.2025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44D7-E259-4D0F-96EF-A1136C92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Application>LibreOffice/7.5.6.2$Linux_X86_64 LibreOffice_project/50$Build-2</Application>
  <AppVersion>15.0000</AppVersion>
  <Pages>5</Pages>
  <Words>1062</Words>
  <Characters>7703</Characters>
  <CharactersWithSpaces>8949</CharactersWithSpaces>
  <Paragraphs>78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2023-07-26T08:23:00Z</dcterms:created>
  <dc:creator>XTreme</dc:creator>
  <dc:description/>
  <dc:language>ru-RU</dc:language>
  <cp:lastModifiedBy/>
  <cp:lastPrinted>2025-02-24T10:31:13Z</cp:lastPrinted>
  <dcterms:modified xsi:type="dcterms:W3CDTF">2025-02-24T10:33:13Z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