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spacing w:lineRule="auto" w:line="360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  <w:lang w:val="en-US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 w:val="false"/>
          <w:bCs/>
          <w:sz w:val="28"/>
          <w:szCs w:val="28"/>
        </w:rPr>
        <w:t xml:space="preserve">ИСПОЛНИТЕЛЬНЫЙ КОМИТЕТ </w:t>
      </w:r>
      <w:r>
        <w:rPr>
          <w:rFonts w:cs="Times New Roman" w:ascii="Tinos" w:hAnsi="Tinos"/>
          <w:b w:val="false"/>
          <w:sz w:val="28"/>
          <w:szCs w:val="28"/>
        </w:rPr>
        <w:t xml:space="preserve">МУНИЦИПАЛЬНОГО ОБРАЗОВАНИЯ «ГОРОД АГРЫЗ»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 w:val="false"/>
          <w:bCs w:val="false"/>
          <w:sz w:val="28"/>
          <w:szCs w:val="28"/>
          <w:lang w:val="en-US"/>
        </w:rPr>
        <w:t xml:space="preserve">ПОСТАНОВЛЕНИЕ      </w:t>
      </w:r>
    </w:p>
    <w:p>
      <w:pPr>
        <w:pStyle w:val="Normal"/>
        <w:ind w:left="-567" w:firstLine="1275"/>
        <w:jc w:val="both"/>
        <w:rPr>
          <w:rFonts w:ascii="Arimo" w:hAnsi="Arimo"/>
          <w:b/>
          <w:sz w:val="24"/>
          <w:szCs w:val="24"/>
        </w:rPr>
      </w:pPr>
      <w:r>
        <w:rPr>
          <w:rFonts w:ascii="Arimo" w:hAnsi="Arimo"/>
          <w:b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5"/>
      </w:tblGrid>
      <w:tr>
        <w:trPr/>
        <w:tc>
          <w:tcPr>
            <w:tcW w:w="9355" w:type="dxa"/>
            <w:tcBorders/>
          </w:tcPr>
          <w:p>
            <w:pPr>
              <w:pStyle w:val="NormalWeb"/>
              <w:widowControl w:val="false"/>
              <w:spacing w:before="0" w:afterAutospacing="0" w:after="0"/>
              <w:jc w:val="center"/>
              <w:rPr>
                <w:rFonts w:ascii="Arimo" w:hAnsi="Arimo"/>
              </w:rPr>
            </w:pPr>
            <w:r>
              <w:rPr>
                <w:rFonts w:ascii="Arimo" w:hAnsi="Arimo"/>
                <w:sz w:val="24"/>
                <w:szCs w:val="24"/>
              </w:rPr>
              <w:t>О внесении изменений в постановление Исполнительного комитета муниципального образования «город Агрыз» Агрызского муниципального района Республики Татарстан от 30.05.2025 № 08 «Об утверждении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муниципальном образовании «город Агрыз» Агрызского муниципального района Республики Татарстан на  период с 1 июля  2025 года по 31 декабря 2025 года»</w:t>
            </w:r>
          </w:p>
        </w:tc>
      </w:tr>
    </w:tbl>
    <w:p>
      <w:pPr>
        <w:pStyle w:val="Normal"/>
        <w:ind w:left="-567" w:firstLine="1275"/>
        <w:jc w:val="both"/>
        <w:rPr>
          <w:rFonts w:ascii="Arimo" w:hAnsi="Arimo"/>
          <w:b/>
          <w:sz w:val="24"/>
          <w:szCs w:val="24"/>
        </w:rPr>
      </w:pPr>
      <w:r>
        <w:rPr>
          <w:rFonts w:ascii="Arimo" w:hAnsi="Arimo"/>
          <w:b/>
          <w:sz w:val="24"/>
          <w:szCs w:val="24"/>
        </w:rPr>
      </w:r>
    </w:p>
    <w:p>
      <w:pPr>
        <w:pStyle w:val="Normal"/>
        <w:ind w:left="-567" w:firstLine="1275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 xml:space="preserve">В соответствии со статьями 154, 156, 158 Жилищного Кодекса Российской Федерации, постановлением Правительства Российской Федерации от 13 августа 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распоряжением Правительства Российской Федерации от 15 ноября 2024 года № 3287-р «Об утверждении индексов изменения размера вносимой гражданами платы за коммунальные услуги в среднем  по субъектам Российской Федерации на 2025 год и  предельно допустимых отклонениях по отдельным муниципальным образованиям от величины указанных индексов на 2025-2028 годы», приказом Министерства строительства и жилищно-коммунального хозяйства Российской Федерации от 6 апреля 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постановлением Кабинета Министров Республики Татарстан от 08.12.2023 № 1585 «О внесении изменения в постановление Кабинета Министров Республики Татарстан от 29.06.2013 № 450 «Об установлении минимального размера взноса на капитальный ремонт общего имущества в многоквартирных домах в Республике Татарстан», указом Раиса Республики Татарстан  от 14 декабря 2024 года № 962 «О предельных (максимальных) индексах изменения размера вносимой гражданами платы за коммунальные услуги в муниципальных образованиях Республики Татарстан на 2025 год», рассмотрев представление прокуратуры Агрызского района Республик Татарстан от 29.09.2025 № 02-08-02-2025/281 «Об устранении нарушений законодательства в сфере жилищно-коммунального хозяйства», </w:t>
      </w:r>
      <w:r>
        <w:rPr>
          <w:rFonts w:ascii="Arimo" w:hAnsi="Arimo"/>
          <w:color w:val="000000"/>
          <w:sz w:val="24"/>
          <w:szCs w:val="24"/>
        </w:rPr>
        <w:t xml:space="preserve">Исполнительный комитет муниципального образования «город Агрыз» Агрызского муниципального района Республики Татарстан </w:t>
      </w:r>
      <w:r>
        <w:rPr>
          <w:rFonts w:ascii="Arimo" w:hAnsi="Arimo"/>
          <w:b/>
          <w:sz w:val="24"/>
          <w:szCs w:val="24"/>
        </w:rPr>
        <w:t>ПОСТАНОВЛЯЕТ:</w:t>
      </w:r>
    </w:p>
    <w:p>
      <w:pPr>
        <w:pStyle w:val="Normal"/>
        <w:ind w:left="-567" w:firstLine="1275"/>
        <w:jc w:val="both"/>
        <w:rPr>
          <w:rFonts w:ascii="Arimo" w:hAnsi="Arimo"/>
          <w:b/>
          <w:sz w:val="24"/>
          <w:szCs w:val="24"/>
        </w:rPr>
      </w:pPr>
      <w:r>
        <w:rPr>
          <w:rFonts w:ascii="Arimo" w:hAnsi="Arimo"/>
          <w:b/>
          <w:sz w:val="24"/>
          <w:szCs w:val="24"/>
        </w:rPr>
      </w:r>
    </w:p>
    <w:p>
      <w:pPr>
        <w:pStyle w:val="Normal"/>
        <w:ind w:left="-567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 xml:space="preserve">1. Внести следующие изменения в постановление Исполнительного комитета муниципального образования «город Агрыз» Агрызского муниципального района Республики Татарстан от 30.05.2025 № 08 «Об утверждении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муниципальном образовании «город Агрыз» Агрызского муниципального района Республики Татарстан на  период с 1 июля  2025 года по 31 декабря 2025 года»: </w:t>
      </w:r>
    </w:p>
    <w:p>
      <w:pPr>
        <w:pStyle w:val="Normal"/>
        <w:ind w:left="-567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- прилагаемый 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 для собственников помещений в многоквартирных домах, не принявших на общем собрании решение об установлении размера платы за содержание жилых  помещений в муниципальном образовании «город Агрыз» Агрызского муниципального района за период с 1 июля 2025 года по 31 декабря 2025 года  изложить в новой редакции.</w:t>
      </w:r>
    </w:p>
    <w:p>
      <w:pPr>
        <w:pStyle w:val="Normal"/>
        <w:ind w:left="-567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ab/>
        <w:t>2. Настоящее постановление вступает в силу со дня его подписания и распространяет свое действие на правоотношения, возникшие с  1 июля 2025 года.</w:t>
      </w:r>
    </w:p>
    <w:p>
      <w:pPr>
        <w:pStyle w:val="Normal"/>
        <w:ind w:left="-567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ab/>
        <w:t>3. Рекомендовать ООО «Управляющая компания - «СМП-184» произвести перерасчет платы за жилищно-коммунальные услуги за период с 1 июля 2025 года.</w:t>
      </w:r>
    </w:p>
    <w:p>
      <w:pPr>
        <w:pStyle w:val="Normal"/>
        <w:tabs>
          <w:tab w:val="clear" w:pos="708"/>
          <w:tab w:val="left" w:pos="567" w:leader="none"/>
        </w:tabs>
        <w:ind w:left="-567" w:hanging="0"/>
        <w:jc w:val="both"/>
        <w:rPr/>
      </w:pPr>
      <w:bookmarkStart w:id="0" w:name="sub_2"/>
      <w:r>
        <w:rPr>
          <w:rFonts w:ascii="Arimo" w:hAnsi="Arimo"/>
          <w:sz w:val="24"/>
          <w:szCs w:val="24"/>
        </w:rPr>
        <w:t xml:space="preserve">       </w:t>
      </w:r>
      <w:r>
        <w:rPr>
          <w:rFonts w:ascii="Arimo" w:hAnsi="Arimo"/>
          <w:sz w:val="24"/>
          <w:szCs w:val="24"/>
        </w:rPr>
        <w:t xml:space="preserve">4. </w:t>
      </w:r>
      <w:bookmarkStart w:id="1" w:name="sub_3"/>
      <w:bookmarkEnd w:id="0"/>
      <w:r>
        <w:rPr>
          <w:rFonts w:ascii="Arimo" w:hAnsi="Arimo"/>
          <w:sz w:val="24"/>
          <w:szCs w:val="24"/>
        </w:rPr>
        <w:t>Настоящее постановление опубликовать на официальном портале правовой информации Республики Татарстан (</w:t>
      </w:r>
      <w:hyperlink r:id="rId2">
        <w:r>
          <w:rPr>
            <w:rFonts w:ascii="Arimo" w:hAnsi="Arimo"/>
            <w:sz w:val="24"/>
            <w:szCs w:val="24"/>
          </w:rPr>
          <w:t>http://pravo.tatarstan.ru</w:t>
        </w:r>
      </w:hyperlink>
      <w:r>
        <w:rPr>
          <w:rFonts w:ascii="Arimo" w:hAnsi="Arimo"/>
          <w:sz w:val="24"/>
          <w:szCs w:val="24"/>
        </w:rPr>
        <w:t>) и на официальном сайте Агрызского муниципального района в составе портала муниципальных образований Республики Татарстан (</w:t>
      </w:r>
      <w:hyperlink r:id="rId3">
        <w:r>
          <w:rPr>
            <w:rFonts w:ascii="Arimo" w:hAnsi="Arimo"/>
            <w:sz w:val="24"/>
            <w:szCs w:val="24"/>
          </w:rPr>
          <w:t>http://agryz.tatarstan.ru</w:t>
        </w:r>
      </w:hyperlink>
      <w:r>
        <w:rPr>
          <w:rFonts w:ascii="Arimo" w:hAnsi="Arimo"/>
          <w:sz w:val="24"/>
          <w:szCs w:val="24"/>
        </w:rPr>
        <w:t>) в информационной-телекоммуникационной сети «Интернет».</w:t>
      </w:r>
      <w:bookmarkEnd w:id="1"/>
    </w:p>
    <w:p>
      <w:pPr>
        <w:pStyle w:val="Normal"/>
        <w:ind w:left="-567" w:firstLine="567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 xml:space="preserve"> </w:t>
      </w:r>
      <w:r>
        <w:rPr>
          <w:rFonts w:ascii="Arimo" w:hAnsi="Arimo"/>
          <w:sz w:val="24"/>
          <w:szCs w:val="24"/>
        </w:rPr>
        <w:t>5. Контроль за исполнением настоящего постановления возложить на заместителя руководителя Исполнительного комитета муниципального образования «город Агрыз» Агрызского муниципального района Республики Татарстан Л.Р. Шарипову.</w:t>
      </w:r>
    </w:p>
    <w:p>
      <w:pPr>
        <w:pStyle w:val="Normal"/>
        <w:ind w:left="-567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ind w:left="-567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tbl>
      <w:tblPr>
        <w:tblW w:w="1006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7"/>
        <w:gridCol w:w="538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Руководитель</w:t>
            </w:r>
          </w:p>
        </w:tc>
        <w:tc>
          <w:tcPr>
            <w:tcW w:w="5387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Arimo" w:hAnsi="Arimo"/>
                <w:sz w:val="24"/>
                <w:szCs w:val="24"/>
              </w:rPr>
              <w:t>И.Б. Гиззатуллин</w:t>
            </w:r>
          </w:p>
        </w:tc>
      </w:tr>
    </w:tbl>
    <w:p>
      <w:pPr>
        <w:pStyle w:val="Normal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52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08"/>
        <w:gridCol w:w="1484"/>
        <w:gridCol w:w="5060"/>
      </w:tblGrid>
      <w:tr>
        <w:trPr>
          <w:trHeight w:val="193" w:hRule="atLeast"/>
        </w:trPr>
        <w:tc>
          <w:tcPr>
            <w:tcW w:w="3708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  <w:tc>
          <w:tcPr>
            <w:tcW w:w="506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Утверждены  </w:t>
            </w:r>
          </w:p>
          <w:p>
            <w:pPr>
              <w:pStyle w:val="Normal"/>
              <w:widowControl w:val="false"/>
              <w:snapToGrid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постановлением Исполнительного комитета муниципального образования «город Агрыз» Агрызского муниципального района  Республики Татарстан </w:t>
            </w:r>
          </w:p>
          <w:p>
            <w:pPr>
              <w:pStyle w:val="Normal"/>
              <w:widowControl w:val="false"/>
              <w:snapToGrid w:val="false"/>
              <w:ind w:right="-53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sz w:val="24"/>
                <w:szCs w:val="24"/>
              </w:rPr>
              <w:t xml:space="preserve">от «21» октября 2025 № 14 </w:t>
            </w:r>
          </w:p>
          <w:p>
            <w:pPr>
              <w:pStyle w:val="Normal"/>
              <w:widowControl w:val="false"/>
              <w:snapToGrid w:val="false"/>
              <w:ind w:right="-53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 xml:space="preserve">Размер платы за пользование жилым помещением (платы за наем), </w:t>
      </w:r>
    </w:p>
    <w:p>
      <w:pPr>
        <w:pStyle w:val="Normal"/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 для собственников помещений в многоквартирных домах, не принявших на общем собрании решение об установлении размера платы за содержание жилых  помещений в муниципальном образовании «город Агрыз» Агрызского муниципального района за период с 1 января 2025 года по 30 июня 2025 года</w:t>
      </w:r>
    </w:p>
    <w:p>
      <w:pPr>
        <w:pStyle w:val="Normal"/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tbl>
      <w:tblPr>
        <w:tblW w:w="978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10"/>
        <w:gridCol w:w="6379"/>
        <w:gridCol w:w="1417"/>
        <w:gridCol w:w="1275"/>
      </w:tblGrid>
      <w:tr>
        <w:trPr/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№ </w:t>
            </w:r>
            <w:r>
              <w:rPr>
                <w:rFonts w:ascii="Arimo" w:hAnsi="Arimo"/>
                <w:sz w:val="24"/>
                <w:szCs w:val="24"/>
              </w:rPr>
              <w:t>п\п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Ед.</w:t>
            </w:r>
          </w:p>
          <w:p>
            <w:pPr>
              <w:pStyle w:val="Normal"/>
              <w:widowControl w:val="false"/>
              <w:ind w:right="-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Тариф за единицу</w:t>
            </w:r>
          </w:p>
        </w:tc>
      </w:tr>
      <w:tr>
        <w:trPr/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  <w:tc>
          <w:tcPr>
            <w:tcW w:w="6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Управление жилищным фондом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4,57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Уборка внутридомовых мест общего пользования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4,04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Работы по  содержанию земельного участка, на котором расположен многоквартирный жилой дом с элементами озеленения и благоустройства, иными объектами, предназначенными для содержания и эксплуатации дома (содержание придомовой территории)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5,66</w:t>
            </w:r>
          </w:p>
        </w:tc>
      </w:tr>
      <w:tr>
        <w:trPr/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Содержание мест накопления твердых коммунальных отходов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0,02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Текущий ремонт жилищного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4,92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sz w:val="24"/>
                <w:szCs w:val="24"/>
              </w:rPr>
              <w:t xml:space="preserve">Дератизация (дезинсекция)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0,34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Базовая ставка за наем жилья   </w:t>
            </w:r>
          </w:p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(для нанимателей жилых помещений)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8,47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sz w:val="24"/>
                <w:szCs w:val="24"/>
              </w:rPr>
              <w:t>Техническое обслуживание (содержание) внутридомовых инженерных сетей водоснабжения и канализации, не оборудованных коллективными ( общедомовыми) приборами учета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3,05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Техническое обслуживание (содержание) внутридомовых инженерных сетей водоснабжения и канализации, оборудованных коллективными </w:t>
            </w:r>
          </w:p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(общедомовыми ) приборами учета горячей воды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4,35</w:t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Техническое обслуживание (содержание) внутридомовых сетей центрального отопления </w:t>
            </w:r>
          </w:p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(при наличии прибора учета)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  <w:lang w:val="en-US"/>
              </w:rPr>
            </w:pPr>
            <w:r>
              <w:rPr>
                <w:rFonts w:ascii="Arimo" w:hAnsi="Arimo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3,44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Техническое обслуживание (содержание) внутридомовых сетей центрального отопления </w:t>
            </w:r>
          </w:p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(без наличии прибора учета)</w:t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" w:hanging="0"/>
              <w:jc w:val="right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jc w:val="right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2,03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sz w:val="24"/>
                <w:szCs w:val="24"/>
              </w:rPr>
              <w:t>Техническое обслуживание (содержание) внутридомовых инженерных сетей электроснабжения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2,21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 </w:t>
            </w:r>
            <w:r>
              <w:rPr>
                <w:rFonts w:ascii="Arimo" w:hAnsi="Arimo"/>
                <w:sz w:val="24"/>
                <w:szCs w:val="24"/>
              </w:rPr>
              <w:t>Техническое обслуживание (содержание) внутридомовых инженерных сетей газоснабжения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0,28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Техническое обслужив</w:t>
            </w:r>
            <w:bookmarkStart w:id="2" w:name="_GoBack"/>
            <w:bookmarkEnd w:id="2"/>
            <w:r>
              <w:rPr>
                <w:rFonts w:ascii="Arimo" w:hAnsi="Arimo"/>
                <w:sz w:val="24"/>
                <w:szCs w:val="24"/>
              </w:rPr>
              <w:t>ание внутридомовых вентиляционных каналов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0,41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Техническое обслуживание дымоходов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2" w:hanging="0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руб./кв.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52" w:hanging="0"/>
              <w:jc w:val="center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>0,78</w:t>
            </w:r>
          </w:p>
        </w:tc>
      </w:tr>
    </w:tbl>
    <w:p>
      <w:pPr>
        <w:pStyle w:val="Normal"/>
        <w:tabs>
          <w:tab w:val="clear" w:pos="708"/>
          <w:tab w:val="left" w:pos="1080" w:leader="none"/>
          <w:tab w:val="left" w:pos="4500" w:leader="none"/>
        </w:tabs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tabs>
          <w:tab w:val="clear" w:pos="708"/>
          <w:tab w:val="left" w:pos="1080" w:leader="none"/>
          <w:tab w:val="left" w:pos="4500" w:leader="none"/>
        </w:tabs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nos">
    <w:charset w:val="01"/>
    <w:family w:val="roman"/>
    <w:pitch w:val="default"/>
  </w:font>
  <w:font w:name="Arimo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376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rsid w:val="002c304c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semiHidden/>
    <w:qFormat/>
    <w:rsid w:val="000c284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9302e"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qFormat/>
    <w:rsid w:val="007c1b26"/>
    <w:pPr>
      <w:spacing w:before="51" w:afterAutospacing="1"/>
    </w:pPr>
    <w:rPr>
      <w:sz w:val="24"/>
      <w:szCs w:val="24"/>
    </w:rPr>
  </w:style>
  <w:style w:type="paragraph" w:styleId="BalloonText">
    <w:name w:val="Balloon Text"/>
    <w:basedOn w:val="Normal"/>
    <w:link w:val="Style14"/>
    <w:semiHidden/>
    <w:unhideWhenUsed/>
    <w:qFormat/>
    <w:rsid w:val="000c2844"/>
    <w:pPr/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037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Application>LibreOffice/7.5.6.2$Linux_X86_64 LibreOffice_project/50$Build-2</Application>
  <AppVersion>15.0000</AppVersion>
  <Pages>4</Pages>
  <Words>1056</Words>
  <Characters>7347</Characters>
  <CharactersWithSpaces>8502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2024-06-07T10:32:00Z</dcterms:created>
  <dc:creator>123</dc:creator>
  <dc:description/>
  <dc:language>ru-RU</dc:language>
  <cp:lastModifiedBy/>
  <cp:lastPrinted>2025-10-21T09:01:15Z</cp:lastPrinted>
  <dcterms:modified xsi:type="dcterms:W3CDTF">2026-01-14T10:27:20Z</dcterms:modified>
  <cp:revision>15</cp:revision>
  <dc:subject/>
  <dc:title>РЕСПУБЛИКА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