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12"/>
        <w:gridCol w:w="2954"/>
      </w:tblGrid>
      <w:tr>
        <w:trPr/>
        <w:tc>
          <w:tcPr>
            <w:tcW w:w="69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Положения об общественном пункте охраны порядка Исполнительного комитета Агрызского муниципального района Республики Татарстан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В целях реализации положений </w:t>
      </w:r>
      <w:hyperlink r:id="rId2" w:tgtFrame="’’ОБ ОБЩЕСТВЕННЫХ ПУНКТАХ ОХРАНЫ ПОРЯДКА В РЕСПУБЛИКЕ ТАТАРСТАН (с изменениями на: 09.03.2018)’’ Закон Республики Татарстан от 25.04.2015 N 33-ЗРТ Статус: действующая редакция">
        <w:r>
          <w:rPr>
            <w:rFonts w:eastAsia="Calibri" w:cs="PT Astra Serif" w:ascii="PT Astra Sans" w:hAnsi="PT Astra Sans"/>
            <w:bCs/>
            <w:color w:val="000000"/>
            <w:sz w:val="24"/>
            <w:szCs w:val="24"/>
            <w:lang w:bidi="ru-RU"/>
          </w:rPr>
          <w:t>Закона Республики Татарстан от 25 апреля 2015 года № 33-ЗРТ «Об общественных пунктах охраны порядка в Республике Татарстан»</w:t>
        </w:r>
      </w:hyperlink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, </w:t>
      </w:r>
      <w:hyperlink r:id="rId3" w:tgtFrame="’’ОБ УЧАСТИИ ГРАЖДАН В ОХРАНЕ ОБЩЕСТВЕННОГО ПОРЯДКА В РЕСПУБЛИКЕ ТАТАРСТАН (с изменениями на: 14.05.2018)’’ Закон Республики Татарстан от 16.01.2015 N 4-ЗРТ Статус: действующая редакция">
        <w:r>
          <w:rPr>
            <w:rFonts w:eastAsia="Calibri" w:cs="PT Astra Serif" w:ascii="PT Astra Sans" w:hAnsi="PT Astra Sans"/>
            <w:bCs/>
            <w:color w:val="000000"/>
            <w:sz w:val="24"/>
            <w:szCs w:val="24"/>
            <w:lang w:bidi="ru-RU"/>
          </w:rPr>
          <w:t>Закона Республики Татарстан от 16 января 2015 года № 4-ЗРТ «Об участии граждан в охране общественного порядка в Республике Татарстан»</w:t>
        </w:r>
      </w:hyperlink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,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ans" w:hAnsi="PT Astra Sans"/>
          <w:sz w:val="24"/>
          <w:szCs w:val="24"/>
        </w:rPr>
        <w:tab/>
        <w:t xml:space="preserve">1. Утвердить прилагаемое </w:t>
      </w:r>
      <w:hyperlink r:id="rId4" w:tgtFrame="’’Об утверждении Положения об общественном пункте охраны порядка в Агрызском муниципальном районе ...’’ Постановление Исполнительного комитета Агрызского муниципального района Республики Татарстан от 10.01.2019 N 01 Статус: действующая редакция">
        <w:r>
          <w:rPr>
            <w:rFonts w:ascii="PT Astra Sans" w:hAnsi="PT Astra Sans"/>
            <w:sz w:val="24"/>
            <w:szCs w:val="24"/>
          </w:rPr>
          <w:t>Положение об общественном пункте охраны порядка Исполнительного комитета Агрызского муниципального района Республики Татарстан</w:t>
        </w:r>
      </w:hyperlink>
      <w:r>
        <w:rPr>
          <w:rFonts w:ascii="PT Astra Sans" w:hAnsi="PT Astra Sans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2. Постановление Исполнительного комитета Агрызского муниципального района от 07.04.2020 № 114 «Об утверждении Положения об общественном пункте охраны порядка в Агрызском муниципальном районе Республики Татарстан» признать утратившим силу.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ans" w:hAnsi="PT Astra Sans"/>
          <w:sz w:val="24"/>
          <w:szCs w:val="24"/>
        </w:rPr>
        <w:tab/>
        <w:t>3. Опубликовать настоящее постановление на официальном портале правовой информации Республики Татарстан (</w:t>
      </w:r>
      <w:hyperlink r:id="rId5">
        <w:r>
          <w:rPr>
            <w:rFonts w:ascii="PT Astra Sans" w:hAnsi="PT Astra Sans"/>
            <w:sz w:val="24"/>
            <w:szCs w:val="24"/>
          </w:rPr>
          <w:t>http://pravo.tatarstan.ru</w:t>
        </w:r>
      </w:hyperlink>
      <w:r>
        <w:rPr>
          <w:rFonts w:ascii="PT Astra Sans" w:hAnsi="PT Astra Sans"/>
          <w:sz w:val="24"/>
          <w:szCs w:val="24"/>
        </w:rPr>
        <w:t>) и разместить на официальном сайте Агрызского муниципального района Республики Татарстан (</w:t>
      </w:r>
      <w:hyperlink r:id="rId6">
        <w:r>
          <w:rPr>
            <w:rFonts w:ascii="PT Astra Sans" w:hAnsi="PT Astra Sans"/>
            <w:sz w:val="24"/>
            <w:szCs w:val="24"/>
          </w:rPr>
          <w:t>http://www.agryz.tatarstan.ru</w:t>
        </w:r>
      </w:hyperlink>
      <w:r>
        <w:rPr>
          <w:rFonts w:ascii="PT Astra Sans" w:hAnsi="PT Astra Sans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И.о. Руководителя</w:t>
        <w:tab/>
        <w:tab/>
        <w:tab/>
        <w:tab/>
        <w:t xml:space="preserve">          </w:t>
        <w:tab/>
        <w:t xml:space="preserve">       </w:t>
        <w:tab/>
        <w:t xml:space="preserve">                                            Р.Н. Бадахшин</w:t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954" w:hanging="0"/>
        <w:outlineLvl w:val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Утверждено</w:t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постановлением </w:t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от 10.12.2025 № 342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bookmarkStart w:id="0" w:name="Par29"/>
      <w:bookmarkEnd w:id="0"/>
      <w:r>
        <w:rPr>
          <w:rFonts w:ascii="PT Astra Sans" w:hAnsi="PT Astra Sans"/>
          <w:b/>
          <w:bCs/>
          <w:color w:val="000000"/>
          <w:sz w:val="24"/>
          <w:szCs w:val="24"/>
        </w:rPr>
        <w:t>ПОЛОЖЕНИЕ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</w:rPr>
        <w:t>ОБ ОБЩЕСТВЕННОМ ПУНКТЕ ОХРАНЫ ПОРЯДКА 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1650" w:hanging="0"/>
        <w:rPr>
          <w:rFonts w:ascii="PT Astra Sans" w:hAnsi="PT Astra Sans"/>
          <w:b/>
          <w:bCs/>
          <w:color w:val="000000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lef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</w:rPr>
        <w:t>Общие положения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1.Общественный пункт охраны порядка (далее ОПОП) является формой взаимодействия органов государственной власти, органов местного самоуправления, организаций, общественных и иных объединений, а также граждан в целях организации содействия органам государственной власти, органам местного самоуправления в решении задач по обеспечению общественного порядка и общественной безопасности, а также профилактики правонарушений.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2.Общественный пункт охраны порядка Исполнительного комитета Агрызского муниципального района Республики Татарстан входит в структуру Исполнительного комитета Агрызского муниципального района.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3.Полное наименование: Общественный пункт охраны порядка Исполнительного комитета Агрызского муниципального района Республики Татарстан. Сокращенное наименование: ОПОП.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4.Руководство деятельностью ОПОП осуществляется Руководителем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5.Функции и полномочия ОПОП устанавливаются данным Положением, утвержденным Постановлением   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6.ОПОП в своей деятельности руководствуется Конституцией Российской Федерации, Конституцией Республики Татарстан, Федеральными конституционными законами, Федеральными законами, законами Республики Татарстан, актами Президента Российской Федерации и Раиса Республики Татарстан, Правительства Российской Федерации, </w:t>
      </w:r>
      <w:r>
        <w:rPr>
          <w:rFonts w:eastAsia="Calibri" w:cs="Arial" w:ascii="PT Astra Sans" w:hAnsi="PT Astra Sans"/>
          <w:color w:val="000000"/>
          <w:sz w:val="24"/>
          <w:szCs w:val="24"/>
        </w:rPr>
        <w:t>Законом Республики Татарстан от 25 апреля 2015 года № 33-ЗРТ «Об общественных пунктах охраны порядка в Республике Татарстан», другими нормативными правовыми актами, применительно к исполнению должностных обязанностей, нормативными требованиями охраны труда и правил противопожарной безопасности, правилами внутреннего трудового распорядка в Исполнительном комитете Агрызского муниципального района Республики Татарстан</w:t>
      </w:r>
      <w:r>
        <w:rPr>
          <w:rFonts w:ascii="PT Astra Sans" w:hAnsi="PT Astra Sans"/>
          <w:color w:val="000000"/>
          <w:sz w:val="24"/>
          <w:szCs w:val="24"/>
        </w:rPr>
        <w:t>, а также настоящим Положением.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7.ОПОП не является юридическим лицом, не имеет обособленное и переданное в его пользование имущество, не имеет самостоятельный баланс, расчетный и иные счета в банках, печати, соответствующие штампы и бланки с обозначением своего наименования. Не имеет право приобретать и осуществлять имущественные и неимущественные права и обязанности, выступать истцом и ответчиком в суде.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8.Структура и штатное расписание ОПОП утверждаются Исполнительным комитетом Агрызского муниципального района Республики Татарстан в пределах установленной численности и фонда оплаты труда работников.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5"/>
        </w:numPr>
        <w:spacing w:lineRule="auto" w:line="240" w:before="0" w:after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bookmarkStart w:id="1" w:name="bookmark0"/>
      <w:r>
        <w:rPr>
          <w:rFonts w:ascii="PT Astra Sans" w:hAnsi="PT Astra Sans"/>
          <w:b/>
          <w:bCs/>
          <w:color w:val="000000"/>
          <w:sz w:val="24"/>
          <w:szCs w:val="24"/>
        </w:rPr>
        <w:t xml:space="preserve">Принципы, задачи и функции </w:t>
      </w:r>
      <w:bookmarkEnd w:id="1"/>
      <w:r>
        <w:rPr>
          <w:rFonts w:ascii="PT Astra Sans" w:hAnsi="PT Astra Sans"/>
          <w:b/>
          <w:bCs/>
          <w:color w:val="000000"/>
          <w:sz w:val="24"/>
          <w:szCs w:val="24"/>
        </w:rPr>
        <w:t>ОПОП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1. Деятельность общественных пунктов охраны порядка основывается на принципах: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1) законности;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2) добровольности;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3) приоритетности защиты прав и свобод человека и гражданина;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4) недопустимости подмены полномочий органов внутренних дел (полиции), иных правоохранительных органов, органов государственной власти и органов местного самоуправления;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5) гласности и общедоступности информации о деятельности общественных пунктов охраны порядка;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6) права каждого на самозащиту от противоправных посягательств всеми способами, не запрещенными законом;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7) взаимодействия с органами внутренних дел (полицией), иными правоохранительными органами, органами государственной власти, органами местного самоуправления, общественными объединениями правоохранительной направленности;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8) ответственности должностных лиц и граждан за нарушение прав и законных интересов граждан.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2. Общественный пункт охраны порядка осуществляет: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1) разработку предложений по укреплению общественного порядка, общественной безопасности и представление их в органы государственной власти, органы местного самоуправления, руководителям предприятий и организаций, общественных объединений;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2) проведение мероприятий по профилактике и предупреждению правонарушений, в том числе информированию населения и пропаганде правовых знаний;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3) оказание консультативной помощи населению.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3. Основными задачами общественного пункта охраны порядка является содействие: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1) обеспечению охраны общественного порядка и общественной безопасности, в том числе безопасности дорожного движения, а также профилактики правонарушений;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2) профилактика безнадзорности и правонарушений несовершеннолетних, осуществлению контроля за их поведением в общественных местах, организация культурного досуга несовершеннолетних по месту жительства;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3) соблюдению порядка использования, содержания, эксплуатации жилых домов, а также придомовых и дворовых территорий;</w:t>
      </w:r>
    </w:p>
    <w:p>
      <w:pPr>
        <w:pStyle w:val="Normal"/>
        <w:spacing w:lineRule="auto" w:line="240" w:before="0" w:after="0"/>
        <w:ind w:firstLine="48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4) обеспечению пожарной безопасности жилых домов и других объектов, расположенных в жилых зонах;</w:t>
      </w:r>
    </w:p>
    <w:p>
      <w:pPr>
        <w:pStyle w:val="Normal"/>
        <w:spacing w:lineRule="auto" w:line="240" w:before="0" w:after="0"/>
        <w:ind w:firstLine="48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5) соблюдению правил благоустройства, охране объектов благоустройства и зеленых насаждений в жилых зонах;</w:t>
      </w:r>
    </w:p>
    <w:p>
      <w:pPr>
        <w:pStyle w:val="Normal"/>
        <w:spacing w:lineRule="auto" w:line="240" w:before="0" w:after="0"/>
        <w:ind w:firstLine="48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6) соблюдению правил содержания домашних животных.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4. Для решения основных задач общественный пункт охраны порядка осуществляет следующие функции: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1) изучает состояние общественного порядка, общественной безопасности и профилактики правонарушений на закрепленной за общественным пунктом охраны порядка территории, разрабатывает и вносит в соответствующие государственные органы, организации, общественные объединения предложения по вопросам обеспечения общественного порядка и профилактики правонарушений на закрепленной за ними территории;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2) анализирует информацию, поступающую в общественный пункт охраны порядка, и доводит ее до сведения участкового уполномоченного полиции, а при получении информации, не терпящей отлагательства, сообщает в дежурную часть соответствующего органа внутренних дел;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3) оказывает содействие органам внутренних дел, общественным объединениям правоохранительной направленности в обеспечении общественного порядка и общественной безопасности на закрепленной территории, взаимодействует с ними;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4) направляет в органы государственной власти информацию и материалы о правонарушениях, имевших место на закрепленных за ним территориях, для рассмотрения вопроса о привлечении лиц, их совершивших, к ответственности в соответствии с законодательством;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5) осуществляет пропаганду правовых знаний среди населения на территории, закрепленной за общественным пунктом охраны порядка;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6) содействует участковым уполномоченным полиции, и другим сотрудникам органов внутренних дел (полиции), иных правоохранительных органов, работникам комиссий по делам несовершеннолетних и защите их прав в осуществлении приема граждан;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7) содействует проведению мероприятий по профилактике и предупреждению правонарушений на закрепленных за общественным пунктом охраны порядка территориях;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8) </w:t>
      </w:r>
      <w:r>
        <w:rPr>
          <w:rFonts w:eastAsia="Calibri" w:ascii="PT Astra Sans" w:hAnsi="PT Astra Sans"/>
          <w:color w:val="000000"/>
          <w:sz w:val="24"/>
          <w:szCs w:val="24"/>
        </w:rPr>
        <w:t>совместно с участковыми уполномоченными полиции, инспекторами подразделений по делам несовершеннолетних, а также работникам комиссии по делам несовершеннолетних и защите их прав принимает участие в осуществлении приема граждан;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outlineLvl w:val="0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ab/>
        <w:t>9)</w:t>
      </w:r>
      <w:r>
        <w:rPr>
          <w:rFonts w:eastAsia="Calibri" w:ascii="PT Astra Sans" w:hAnsi="PT Astra Sans"/>
          <w:color w:val="000000"/>
          <w:sz w:val="24"/>
          <w:szCs w:val="24"/>
        </w:rPr>
        <w:t xml:space="preserve"> содействие полиции при выполнении сотрудниками полиции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движения, в том числе в выявлении и фиксации административных правонарушений;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outlineLvl w:val="0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</w:rPr>
        <w:tab/>
        <w:t>10) осуществляет мероприятия по пропаганде безопасности дорожного движения, в том числе по предупреждению детского дорожно-транспортного травматизма;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outlineLvl w:val="0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</w:rPr>
        <w:tab/>
        <w:t>11) оказывает содействие полиции при выполнении возложенных на нее Федеральным законом от 07.02.2011 № 3-ФЗ «О полиции» обязанностей в сфере охраны общественного порядка и общественной безопасности;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outlineLvl w:val="0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</w:rPr>
        <w:tab/>
        <w:t>12) контроль сохранности автомобильных дорог.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0" w:hanging="0"/>
        <w:jc w:val="both"/>
        <w:outlineLvl w:val="0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</w:rPr>
        <w:tab/>
        <w:t>13) участие в пропаганде безопасности дорожного движения.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14) осуществляет иные функции, определяемые органами местного самоуправления в соответствии с законодательством.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/>
          <w:sz w:val="24"/>
          <w:szCs w:val="24"/>
          <w:lang w:eastAsia="en-US"/>
        </w:rPr>
        <w:t>3. Заключительные положения</w:t>
      </w:r>
    </w:p>
    <w:p>
      <w:pPr>
        <w:pStyle w:val="Normal"/>
        <w:spacing w:lineRule="auto" w:line="240" w:before="0" w:after="0"/>
        <w:ind w:left="2160" w:hanging="0"/>
        <w:jc w:val="center"/>
        <w:rPr>
          <w:rFonts w:ascii="PT Astra Sans" w:hAnsi="PT Astra Sans"/>
          <w:color w:val="000000"/>
          <w:sz w:val="24"/>
          <w:szCs w:val="24"/>
          <w:lang w:eastAsia="en-US"/>
        </w:rPr>
      </w:pPr>
      <w:r>
        <w:rPr>
          <w:rFonts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eastAsia="en-US"/>
        </w:rPr>
        <w:t>3 .1. Настоящее Положение, дополнения и изменения к нему утверждаются Исполнительного комитета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left="20" w:right="20"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eastAsia="en-US"/>
        </w:rPr>
        <w:t>3.2. Все вопросы, неурегулированные настоящим Положением, регулируется действующим законодательством Российской Ф</w:t>
      </w:r>
      <w:bookmarkStart w:id="2" w:name="_GoBack"/>
      <w:bookmarkEnd w:id="2"/>
      <w:r>
        <w:rPr>
          <w:rFonts w:ascii="PT Astra Sans" w:hAnsi="PT Astra Sans"/>
          <w:color w:val="000000"/>
          <w:sz w:val="24"/>
          <w:szCs w:val="24"/>
          <w:lang w:eastAsia="en-US"/>
        </w:rPr>
        <w:t>едерации и Республики Татарстан.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Calibri"/>
          <w:color w:val="000000"/>
          <w:sz w:val="24"/>
          <w:szCs w:val="24"/>
          <w:lang w:eastAsia="en-US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50" w:hanging="111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34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428550883" TargetMode="External"/><Relationship Id="rId3" Type="http://schemas.openxmlformats.org/officeDocument/2006/relationships/hyperlink" Target="kodeks://link/d?nd=423903996" TargetMode="External"/><Relationship Id="rId4" Type="http://schemas.openxmlformats.org/officeDocument/2006/relationships/hyperlink" Target="kodeks://link/d?nd=553510575&amp;point=mark=000000000000000000000000000000000000000000000000032CKN1O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yperlink" Target="http://agryz.tatarstan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LibreOffice/7.5.6.2$Linux_X86_64 LibreOffice_project/50$Build-2</Application>
  <AppVersion>15.0000</AppVersion>
  <Pages>4</Pages>
  <Words>1066</Words>
  <Characters>8433</Characters>
  <CharactersWithSpaces>9514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2026-01-14T14:01:25Z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