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eastAsia="Source Han Sans CN Regular" w:cs="Times New Roman" w:ascii="Times New Roman" w:hAnsi="Times New Roman"/>
          <w:b w:val="false"/>
          <w:color w:val="000000"/>
          <w:kern w:val="2"/>
          <w:sz w:val="28"/>
          <w:szCs w:val="28"/>
        </w:rPr>
        <w:t>ПОСТАНОВЛЕНИЕ</w:t>
      </w:r>
    </w:p>
    <w:tbl>
      <w:tblPr>
        <w:tblW w:w="5034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34"/>
      </w:tblGrid>
      <w:tr>
        <w:trPr/>
        <w:tc>
          <w:tcPr>
            <w:tcW w:w="50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утверждении порядка материального обеспечения и норм расходов на обеспечение питанием, проживанием, проездом при проведении культурно-массовых мероприятий в Агрызском муниципальном районе Республики Татарстан, оплаты расходов за питание и проживание руководителей команд и участников предметных олимпиад при проведении регионального этапа всероссийской и заключительного этапа республиканской олимпиад школьников в Республике Татарстан в 2025-2026 учебном году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приказом Министерства образования и науки Республики Татарстан от 18.12.2025 № 630/25 «О проведении заключительного этапа республиканской олимпиады «Путь к Олимпу», регионального этапа всероссийской и заключительного этапа республиканской олимпиад школьников в Республике Татарстан в 2025/2026 учебном году», в целях рационального использования средств на материальное обеспечение культурно-массовых мероприятий, обеспечение питанием участников культурно-массовых мероприятий, оплаты расходов за питание и проживание руководителей команд и участников предметных олимпиад при проведении регионального этапа всероссийской и заключительного этапа республиканской олимпиад школьников в Республике Татарстан в 2025-2026 учебном году, Исполнительный комитет Агрызского муниципального района Республики Татарстан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PT Astra Sans" w:hAnsi="PT Astra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54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>ПОСТАНОВЛЯЕТ: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1. Утвердить порядок материального обеспечения и норм расходов на обеспечение питанием, проживанием, проездом при проведении культурно-массовых мероприятий в Агрызском муниципальном районе Республики Татарстан, оплаты расходов за питание и проживание руководителей команд и участников предметных олимпиад при проведении регионального этапа всероссийской и заключительного этапа республиканской олимпиад школьников в Республике Татарстан в 2025-2026 учебном году (прилагается).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2. Руководителям муниципальных учреждений Агрызского муниципального района Республики Татарстан при проведении культурно-массовых мероприятий, предметных олимпиад при проведении регионального этапа всероссийской и заключительного этапа республиканской олимпиад школьников в Республике Татарстан в 2025-2026 учебном году руководствоваться настоящим постановлением.</w:t>
      </w:r>
    </w:p>
    <w:p>
      <w:pPr>
        <w:pStyle w:val="ListParagraph"/>
        <w:spacing w:lineRule="auto" w:line="240"/>
        <w:ind w:lef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ab/>
        <w:t>3. Финансово-бюджетной палате Агрызского муниципального района Республики Татарстан обеспечить в установленном порядке финансирование расходов в соответствии с настоящим постановлением.</w:t>
      </w:r>
    </w:p>
    <w:p>
      <w:pPr>
        <w:pStyle w:val="ListParagraph"/>
        <w:spacing w:lineRule="auto" w:line="240"/>
        <w:ind w:lef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ab/>
        <w:t>4. Руководителю муниципального бюджетного учреждения «Централизованная бухгалтерия» Агрызского муниципального района Республики Татарстан своевременно возместить расходы в соответствии с настоящим постановлением.</w:t>
      </w:r>
    </w:p>
    <w:p>
      <w:pPr>
        <w:pStyle w:val="ListParagraph"/>
        <w:spacing w:lineRule="auto" w:line="240"/>
        <w:ind w:lef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  <w:tab/>
        <w:t>5.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 xml:space="preserve"> Настоящее постановление опубликовать на официальном портале правовой информации Республики Татарстан (http://pravo.tatarstan.ru) и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«Интернет».</w:t>
      </w:r>
    </w:p>
    <w:p>
      <w:pPr>
        <w:pStyle w:val="ListParagraph"/>
        <w:spacing w:lineRule="auto" w:line="240"/>
        <w:ind w:left="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  <w:lang w:eastAsia="ru-RU"/>
        </w:rPr>
        <w:tab/>
        <w:t>6. Установить, что настоящее постановление распространяется на правоотношения, возникающие с 1 января 2026 года.</w:t>
      </w:r>
    </w:p>
    <w:p>
      <w:pPr>
        <w:pStyle w:val="ListParagraph"/>
        <w:spacing w:lineRule="auto" w:line="240"/>
        <w:ind w:left="0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" w:ascii="PT Astra Sans" w:hAnsi="PT Astra Sans"/>
          <w:sz w:val="24"/>
          <w:szCs w:val="24"/>
        </w:rPr>
        <w:tab/>
        <w:t>7. Контроль за исполнением настоящего постановления оставляю за собой.</w:t>
      </w:r>
    </w:p>
    <w:p>
      <w:pPr>
        <w:pStyle w:val="ListParagraph"/>
        <w:spacing w:lineRule="auto" w:line="240"/>
        <w:ind w:left="0" w:firstLine="54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pacing w:lineRule="auto" w:line="24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sz w:val="24"/>
          <w:szCs w:val="24"/>
        </w:rPr>
        <w:t>Руководитель                                                                                                                      И.Х.Салихов</w:t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</w:t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       </w:t>
      </w:r>
    </w:p>
    <w:p>
      <w:pPr>
        <w:pStyle w:val="ConsPlusNormal"/>
        <w:spacing w:lineRule="auto" w:line="2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                </w:t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spacing w:lineRule="auto" w:line="24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ConsPlusNormal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УТВЕРЖДЕН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  <w:lang w:eastAsia="ru-RU"/>
        </w:rPr>
        <w:t xml:space="preserve">постановлением 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  <w:lang w:eastAsia="ru-RU"/>
        </w:rPr>
        <w:t>Исполнительного комитета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sz w:val="24"/>
          <w:szCs w:val="24"/>
          <w:lang w:eastAsia="ru-RU"/>
        </w:rPr>
        <w:t>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left="5387" w:hanging="0"/>
        <w:jc w:val="both"/>
        <w:rPr>
          <w:rFonts w:cs="Times New Roman"/>
        </w:rPr>
      </w:pPr>
      <w:r>
        <w:rPr>
          <w:rFonts w:eastAsia="Times New Roman" w:cs="Times New Roman" w:ascii="PT Astra Sans" w:hAnsi="PT Astra Sans"/>
          <w:sz w:val="24"/>
          <w:szCs w:val="24"/>
          <w:lang w:eastAsia="ru-RU"/>
        </w:rPr>
        <w:t>от 04.02.2026 № 23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ans" w:hAnsi="PT Astra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Порядок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материального обеспечения и норм расходов на обеспечение питанием, проживанием, проездом при проведении культурно-массовых мероприятий в Агрызском муниципальном районе Республики Татарстан, оплаты расходов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за питание и проживание руководителей команд и участников предметных олимпиад предметных республиканских олимпиад в 2025-2026 учебном году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ans" w:hAnsi="PT Astra Sans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1. Общие положения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1.1 Целью настоящего Порядка является регулирование расходования средств муниципальными учреждениями Агрызского муниципального района, направляющими участников на культурно-массовые мероприятия или проводящими культурно-массовые мероприятия и предметные олимпиады при проведении регионального этапа всероссийской и заключительного этапа республиканской олимпиад школьников в Республике Татарстан в 2024-2025 учебном году.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1.2. К культурно-массовым мероприятиям относятся фестивали, конкурсы, смотры и другие культурно-массовые мероприятия, предусмотренные единым календарным планом районных, республиканских и всероссийских культурно-массовых мероприятий.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1.3. К нормам на материальное обеспечение участников культурно-массовых мероприятий относятся: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нормы расходов на обеспечение питанием участников в дни проведения культурно-массовых мероприятий;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транспортные расходы;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почтово-типографские и канцелярские расходы;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оплата найма жилого помещения;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и другие виды материального обеспечения участников культурно-массовых мероприятий.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567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1.4 К нормам на материальное обеспечение участников предметных олимпиад при проведении регионального этапа всероссийской и заключительного этапа республиканской олимпиад относятся: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567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- питание участников предметных олимпиад и руководителей команд в пути следования к месту проведения предметных олимпиад и обратно;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567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- оплата найма жилого помещения;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567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- и другие виды материального обеспечения участников предметных олимпиад и руководителей команд, предусмотренных законодательством.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1.5. К участникам культурно-массовых мероприятий относятся учащиеся образовательных учреждений, участники художественной самодеятельности, участники клубных формирований учреждений культуры, и представители творческих коллективов, специалисты, оговоренные в правилах, положениях о культурно-массовых мероприятиях и регламентирующих документах.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 xml:space="preserve">1.6. К участникам предметных олимпиад при проведении регионального этапа всероссийской и заключительного этапа республиканской олимпиад относятся школьники 2025-2026 учебного года, набравшие необходимое количество баллов, а также победители и призеры Олимпиады 2025-2026 учебного года и руководители команд.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1.7. Направление участников на культурно-массовые мероприятия осуществляется на основании официального приглашения проводящих культурно-массовые мероприятия организаций.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1.8. Направление школьников на предметные олимпиады осуществляется в соответствии с приказом Министерства образования и науки Республики Татарстан от 18.12.2025 № 630/25 «О проведении заключительного этапа республиканской олимпиады «Путь к Олимпу», регионального этапа всероссийской и заключительного этапа республиканской олимпиад школьников в Республике Татарстан в 2025/2026 учебном году»,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2. Порядок расходования средств при проведении культурно-массовых мероприятий, предметных олимпиад при проведении регионального этапа всероссийской и заключительного этапа республиканской олимпиад школьников в Республике Татарстан в 2025-2026 учебном году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2.1. При проведении культурно-массовых мероприятий организацией, проводящей культурно-массовые мероприятия, утверждаются: положения о культурно-массовых мероприятиях, программы культурно-массовых мероприятий, регламентирующие порядок проведения культурно-массовых мероприятий; сметы, включающие количественный состав участников культурно-массовых мероприятий, сроки их проведения и нормы материального обеспечения.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2.2. Расходы на обеспечение питанием участников в дни проведения культурно-массовых мероприятий производится в соответствии с нормами согласно приложению № 1.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2.3. Расходы на обеспечение питанием участников в дни проведения предметных олимпиад при проведении регионального этапа всероссийской и заключительного этапа республиканской олимпиад школьников в 2025-2026 учебном году производится в соответствии с нормами согласно приложению № 2.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2.4. Бронирование мест в гостиницах осуществляется не позднее суток до установленного срока приезда участников культурно-массовых мероприятий и предметных олимпиад.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2.5. При вынужденных остановках в пути следования на культурно-массовые мероприятия, предметные олимпиады и обратно, при пересадках с ожиданием следующего транспорта в течение ночи и более суток расходы по найму жилого помещения, подтвержденные соответствующими документами, возмещаются участникам в пределах, установленных коллективным договором или локальным нормативным актом организации.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2.6. Транспортные, телеграфные, почтово-типографские, канцелярские и другие расходы производятся по действующим в отрасли расценкам или договорным ценам в объемах, обеспечивающих наиболее экономичное проведение культурно-массовых мероприятий и рациональное использование средств.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2.7. Возмещение затрат по командированию и заработной плате участникам культурно-массовых мероприятий производятся в соответствии с коллективным договором и иными нормативными актами, действующими в организации.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ans" w:hAnsi="PT Astra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3. Порядок финансирования культурно-массовых мероприятий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3.1. Источниками финансирования культурно-массовых мероприятий являются бюджетные и внебюджетные средства. Внебюджетные средства образуются за счет благотворительной помощи, добровольных пожертвований.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3.2. Расходы на материальное обеспечение культурно-массовых мероприятий и предметных олимпиад</w:t>
      </w: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при проведении регионального этапа всероссийской и заключительного этапа республиканской олимпиад школьников в 2025-2026 учебном году производятся за счет соответствующих источников финансирования в пределах имеющихся средств на основании утвержденного плана финансово-хозяйственной деятельности в соответствии с утвержденными настоящим постановлением нормами.</w:t>
      </w:r>
    </w:p>
    <w:p>
      <w:pPr>
        <w:sectPr>
          <w:type w:val="nextPage"/>
          <w:pgSz w:w="11906" w:h="16838"/>
          <w:pgMar w:left="1134" w:right="701" w:gutter="0" w:header="0" w:top="806" w:footer="0" w:bottom="1135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3.3. При проведении культурно-массовых мероприятий на территории Агрызского муниципального района, финансируемых за счет средств районного бюджета Агрызского муниципального района, условия финансового обеспечения устанавливаются в Положениях (регламентах) об этих мероприятиях, утвержденных Исполнительным комитетом Агрызского муниципального района РТ.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Приложение № 1</w:t>
      </w:r>
    </w:p>
    <w:p>
      <w:pPr>
        <w:pStyle w:val="Normal"/>
        <w:shd w:val="clear" w:color="auto" w:fill="FFFFFF"/>
        <w:spacing w:lineRule="auto" w:line="240" w:before="0" w:after="0"/>
        <w:ind w:left="4956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к Порядку материального обеспечения</w:t>
      </w:r>
    </w:p>
    <w:p>
      <w:pPr>
        <w:pStyle w:val="Normal"/>
        <w:shd w:val="clear" w:color="auto" w:fill="FFFFFF"/>
        <w:spacing w:lineRule="auto" w:line="240" w:before="0" w:after="0"/>
        <w:ind w:left="4956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культурно-массовых мероприятий</w:t>
      </w:r>
    </w:p>
    <w:p>
      <w:pPr>
        <w:pStyle w:val="Normal"/>
        <w:shd w:val="clear" w:color="auto" w:fill="FFFFFF"/>
        <w:spacing w:lineRule="auto" w:line="240" w:before="0" w:after="0"/>
        <w:ind w:left="4956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и обеспечения питанием участников</w:t>
      </w:r>
    </w:p>
    <w:p>
      <w:pPr>
        <w:pStyle w:val="Normal"/>
        <w:shd w:val="clear" w:color="auto" w:fill="FFFFFF"/>
        <w:spacing w:lineRule="auto" w:line="240" w:before="0" w:after="0"/>
        <w:ind w:left="4956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культурно-массовых мероприятий в Агрызском муниципальном районе Республики Татарстан, оплаты расходов за питание и проживание руководителей команд и участников предметных олимпиад при проведении регионального этапа всероссийской и заключительного этапа республиканской олимпиад</w:t>
      </w: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школьников в Республике Татарстан в 2025-2026 учебном году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ans" w:hAnsi="PT Astra Sans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565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Нормы расходов</w:t>
      </w:r>
    </w:p>
    <w:p>
      <w:pPr>
        <w:pStyle w:val="Normal"/>
        <w:shd w:val="clear" w:color="auto" w:fill="FFFFFF"/>
        <w:spacing w:lineRule="auto" w:line="240" w:before="0" w:after="0"/>
        <w:ind w:left="567" w:right="565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на обеспечение питанием, проездом и проживанием участников при проведении культурно-массовых мероприятий</w:t>
      </w:r>
    </w:p>
    <w:p>
      <w:pPr>
        <w:pStyle w:val="Normal"/>
        <w:shd w:val="clear" w:color="auto" w:fill="FFFFFF"/>
        <w:spacing w:lineRule="auto" w:line="240" w:before="0" w:after="0"/>
        <w:ind w:left="567" w:right="565" w:hanging="0"/>
        <w:jc w:val="center"/>
        <w:rPr>
          <w:rFonts w:ascii="PT Astra Sans" w:hAnsi="PT Astra Sans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</w:r>
    </w:p>
    <w:tbl>
      <w:tblPr>
        <w:tblStyle w:val="a4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7"/>
        <w:gridCol w:w="5533"/>
        <w:gridCol w:w="3481"/>
      </w:tblGrid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культурно-массовых мероприятий</w:t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Нормы расходов на человека в день (руб.)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Питание участников мероприятий в пути продолжительностью не менее 3-х часов на расстоянии от 200 км и более от Агрызского муниципального района Республики Татарстан</w:t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400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Питание участников на месте на расстоянии от 200 км и более от Агрызского муниципального района Республики Татарстан</w:t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400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Проживание участников на месте проведения мероприятия: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- на территории Республики Татарстан;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- на территории РФ, вне пределов Республики Татарстан</w:t>
            </w:r>
            <w:bookmarkStart w:id="0" w:name="_GoBack"/>
            <w:bookmarkEnd w:id="0"/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1000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1000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Проезд</w:t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В размере фактических расходов, подтвержденных проездными документами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PT Astra Sans" w:hAnsi="PT Astra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</w:r>
    </w:p>
    <w:p>
      <w:pPr>
        <w:sectPr>
          <w:headerReference w:type="default" r:id="rId2"/>
          <w:type w:val="nextPage"/>
          <w:pgSz w:w="11906" w:h="16838"/>
          <w:pgMar w:left="1134" w:right="1134" w:gutter="0" w:header="709" w:top="1259" w:footer="0" w:bottom="539"/>
          <w:pgNumType w:fmt="decimal"/>
          <w:formProt w:val="false"/>
          <w:textDirection w:val="lrTb"/>
          <w:docGrid w:type="default" w:linePitch="360" w:charSpace="4096"/>
        </w:sect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Примечание: при отсутствии возможностей обеспечения организованным питанием в местах проведения культурно-массовых мероприятий по безналичным расчетам участникам культурно-массовых мероприятий разрешается выдавать по ведомости наличные деньги по вышеуказанным нормам.</w:t>
      </w:r>
    </w:p>
    <w:p>
      <w:pPr>
        <w:pStyle w:val="Normal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 xml:space="preserve">                                                                       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Приложение № 2</w:t>
      </w:r>
    </w:p>
    <w:p>
      <w:pPr>
        <w:pStyle w:val="Normal"/>
        <w:shd w:val="clear" w:color="auto" w:fill="FFFFFF"/>
        <w:spacing w:lineRule="auto" w:line="240" w:before="0" w:after="0"/>
        <w:ind w:left="4956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к Порядку материального обеспечения</w:t>
      </w:r>
    </w:p>
    <w:p>
      <w:pPr>
        <w:pStyle w:val="Normal"/>
        <w:shd w:val="clear" w:color="auto" w:fill="FFFFFF"/>
        <w:spacing w:lineRule="auto" w:line="240" w:before="0" w:after="0"/>
        <w:ind w:left="4956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культурно-массовых мероприятий</w:t>
      </w:r>
    </w:p>
    <w:p>
      <w:pPr>
        <w:pStyle w:val="Normal"/>
        <w:shd w:val="clear" w:color="auto" w:fill="FFFFFF"/>
        <w:spacing w:lineRule="auto" w:line="240" w:before="0" w:after="0"/>
        <w:ind w:left="4956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и обеспечения питанием участников</w:t>
      </w:r>
    </w:p>
    <w:p>
      <w:pPr>
        <w:pStyle w:val="Normal"/>
        <w:shd w:val="clear" w:color="auto" w:fill="FFFFFF"/>
        <w:spacing w:lineRule="auto" w:line="240" w:before="0" w:after="0"/>
        <w:ind w:left="4956" w:hanging="0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культурно-массовых мероприятий в Агрызском муниципальном районе Республики Татарстан, оплаты расходов за питание и проживание руководителей команд и участников предметных олимпиад при проведении регионального этапа всероссийской и заключительного этапа республиканской олимпиад</w:t>
      </w: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Sans" w:hAnsi="PT Astra Sans"/>
          <w:color w:val="000000"/>
          <w:sz w:val="24"/>
          <w:szCs w:val="24"/>
          <w:lang w:eastAsia="ru-RU"/>
        </w:rPr>
        <w:t>школьников в Республике Татарстан в 2025-2026 учебном году</w:t>
      </w:r>
    </w:p>
    <w:p>
      <w:pPr>
        <w:pStyle w:val="Normal"/>
        <w:tabs>
          <w:tab w:val="clear" w:pos="708"/>
          <w:tab w:val="left" w:pos="6210" w:leader="none"/>
        </w:tabs>
        <w:jc w:val="right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567" w:right="565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Нормы расходов</w:t>
      </w:r>
    </w:p>
    <w:p>
      <w:pPr>
        <w:pStyle w:val="Normal"/>
        <w:shd w:val="clear" w:color="auto" w:fill="FFFFFF"/>
        <w:spacing w:lineRule="auto" w:line="240" w:before="0" w:after="0"/>
        <w:ind w:left="567" w:right="565" w:hanging="0"/>
        <w:jc w:val="center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color w:val="000000"/>
          <w:sz w:val="24"/>
          <w:szCs w:val="24"/>
          <w:lang w:eastAsia="ru-RU"/>
        </w:rPr>
        <w:t>на обеспечение питанием и проживанием участников и руководителей команд при проведении регионального этапа всероссийской и заключительного этапа республиканской олимпиад школьников в Республике Татарстан в 2025-2026 учебном году</w:t>
      </w:r>
    </w:p>
    <w:p>
      <w:pPr>
        <w:pStyle w:val="Normal"/>
        <w:tabs>
          <w:tab w:val="clear" w:pos="708"/>
          <w:tab w:val="left" w:pos="2880" w:leader="none"/>
        </w:tabs>
        <w:jc w:val="center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tbl>
      <w:tblPr>
        <w:tblStyle w:val="a4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7"/>
        <w:gridCol w:w="5533"/>
        <w:gridCol w:w="3481"/>
      </w:tblGrid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культурно-массовых мероприятий</w:t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Нормы расходов на человека в день (руб.)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Питание и проживание руководителей команд в сутки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2600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Проживание участников предметных олимпиад в сутки в федеральном государственном бюджетном образовательном учреждении высшего образования «Поволжский государственный университет физической культуры, спорта и туризма»</w:t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1300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Питание и проживание руководителей команд в сутки в оздоровительно-образовательном комплексе «Дуслык»</w:t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2200</w:t>
            </w:r>
          </w:p>
        </w:tc>
      </w:tr>
      <w:tr>
        <w:trPr/>
        <w:tc>
          <w:tcPr>
            <w:tcW w:w="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5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Проживание участников предметных олимпиад в сутки в оздоровительно-образовательном комплексе «Дуслык»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1200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PT Astra Sans" w:hAnsi="PT Astra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1185" w:leader="none"/>
        </w:tabs>
        <w:spacing w:before="0" w:after="200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  <w:bookmarkStart w:id="1" w:name="_GoBack_Копия_1_Копия_1"/>
      <w:bookmarkStart w:id="2" w:name="_GoBack_Копия_1_Копия_1"/>
      <w:bookmarkEnd w:id="2"/>
    </w:p>
    <w:sectPr>
      <w:headerReference w:type="default" r:id="rId3"/>
      <w:headerReference w:type="first" r:id="rId4"/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59385"/>
              <wp:effectExtent l="0" t="0" r="0" b="0"/>
              <wp:wrapSquare wrapText="bothSides"/>
              <wp:docPr id="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234.9pt;margin-top:0.05pt;width:12pt;height:12.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5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BookmanOldStyle">
    <w:name w:val="Основной текст + Bookman Old Style"/>
    <w:qFormat/>
    <w:rPr>
      <w:rFonts w:ascii="Bookman Old Style" w:hAnsi="Bookman Old Style" w:eastAsia="Bookman Old Style" w:cs="Bookman Old Styl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0"/>
      <w:szCs w:val="20"/>
      <w:u w:val="none"/>
      <w:effect w:val="non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Bullet2">
    <w:name w:val="List Bullet 2"/>
    <w:basedOn w:val="Normal"/>
    <w:qFormat/>
    <w:pPr>
      <w:numPr>
        <w:ilvl w:val="0"/>
        <w:numId w:val="1"/>
      </w:numPr>
    </w:pPr>
    <w:rPr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LibreOffice/7.5.6.2$Linux_X86_64 LibreOffice_project/50$Build-2</Application>
  <AppVersion>15.0000</AppVersion>
  <Pages>6</Pages>
  <Words>1394</Words>
  <Characters>11297</Characters>
  <CharactersWithSpaces>12981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2026-02-06T15:28:01Z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