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1234"/>
        <w:gridCol w:w="1299"/>
        <w:gridCol w:w="1063"/>
        <w:gridCol w:w="853"/>
        <w:gridCol w:w="1129"/>
        <w:gridCol w:w="0"/>
      </w:tblGrid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3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9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gridSpan w:val="18"/>
            <w:tcW w:w="1685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СВЕДЕНИЯ</w:t>
            </w:r>
          </w:p>
        </w:tc>
      </w:tr>
      <w:tr>
        <w:tc>
          <w:tcPr>
            <w:gridSpan w:val="18"/>
            <w:tcW w:w="1685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должности, а также их супруг (супругов) и несовершеннолетних детей </w:t>
            </w:r>
          </w:p>
        </w:tc>
      </w:tr>
      <w:tr>
        <w:tc>
          <w:tcPr>
            <w:gridSpan w:val="18"/>
            <w:tcW w:w="1685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за период с 1 января по 31 декабря 2 016 года</w:t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3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9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253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vAlign w:val="top"/>
            <w:shd w:val="clear" w:color="FFFFFF" w:fill="auto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vAlign w:val="top"/>
            <w:shd w:val="clear" w:color="FFFFFF" w:fill="auto"/>
            <w:pPr>
              <w:jc w:val="center"/>
            </w:pPr>
          </w:tcPr>
          <w:p>
            <w:pPr>
              <w:pStyle w:val="1CStyle6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Нуриев Зульфат Равилович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Глава Кичкетанского сельского поселения Агрызского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96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Легковой автомобиль Шевроле Ланос</w:t>
            </w:r>
          </w:p>
        </w:tc>
        <w:tc>
          <w:tcPr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>индивидуальная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494 177,52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Нуриев Зульфат Равилович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Глава Кичкетанского сельского поселения Агрызского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Долевая собственность 1-2 часть (Нуриева С.Р.)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95 180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Иное транспортное средство Прицеп к легковым автомобилям 712502</w:t>
            </w:r>
          </w:p>
        </w:tc>
        <w:tc>
          <w:tcPr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>индивидуальная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494 177,52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Нуриев Зульфат Равилович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Глава Кичкетанского сельского поселения Агрызского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90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Легковой автомобиль SSANGYONG KYRON</w:t>
            </w:r>
          </w:p>
        </w:tc>
        <w:tc>
          <w:tcPr>
            <w:vMerge w:val="restart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>индивидуальная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494 177,52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Нуриев Зульфат Равилович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Глава Кичкетанского сельского поселения Агрызского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3 000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Легковой автомобиль SSANGYONG KYRON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>индивидуальная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494 177,52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Нуриев Зульфат Равилович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Глава Кичкетанского сельского поселения Агрызского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2 978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Легковой автомобиль SSANGYONG KYRON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>индивидуальная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494 177,52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Общая долевая 1/2 доля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98 180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8"/>
            </w:pPr>
            <w:r>
              <w:t>117 127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restart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458 334,95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Общая долевая 1/2 доля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98 180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8"/>
            </w:pPr>
            <w:r>
              <w:t>2 978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458 334,95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Общая долевая 1/2 доля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98 180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8"/>
            </w:pPr>
            <w:r>
              <w:t>96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458 334,95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rPr>
          <w:trHeight w:val="180" w:hRule="exact"/>
        </w:trPr>
        <w:tc>
          <w:tcPr>
            <w:gridSpan w:val="2"/>
            <w:tcW w:w="82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3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9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3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9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17"/>
            <w:tcW w:w="16497" w:type="dxa"/>
            <w:vAlign w:val="bottom"/>
            <w:shd w:val="clear" w:color="FFFFFF" w:fill="auto"/>
            <w:pPr>
              <w:jc w:val="both"/>
            </w:pPr>
          </w:tcPr>
          <w:p>
            <w:pPr>
              <w:pStyle w:val="1CStyle19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1CStyle-1">
    <w:name w:val="1CStyle-1"/>
    <w:basedOn w:val="Normal"/>
    <w:pPr>
      <w:jc w:val="center"/>
      <w:rPr>
        <w:rFonts w:ascii="Arial" w:hAnsi="Arial"/>
        <w:b/>
        <w:sz w:val="24"/>
      </w:rPr>
    </w:pPr>
  </w:style>
  <w:style w:type="paragraph" w:styleId="1CStyle6">
    <w:name w:val="1CStyle6"/>
    <w:basedOn w:val="Normal"/>
    <w:pPr>
      <w:jc w:val="center"/>
      <w:rPr/>
    </w:pPr>
  </w:style>
  <w:style w:type="paragraph" w:styleId="1CStyle19">
    <w:name w:val="1CStyle19"/>
    <w:basedOn w:val="Normal"/>
    <w:pPr>
      <w:wordWrap w:val="1"/>
      <w:jc w:val="both"/>
      <w:rPr/>
    </w:pPr>
  </w:style>
  <w:style w:type="paragraph" w:styleId="1CStyle0">
    <w:name w:val="1CStyle0"/>
    <w:basedOn w:val="Normal"/>
    <w:pPr>
      <w:wordWrap w:val="1"/>
      <w:jc w:val="center"/>
      <w:rPr>
        <w:rFonts w:ascii="Arial" w:hAnsi="Arial"/>
        <w:b/>
        <w:sz w:val="24"/>
      </w:rPr>
    </w:pPr>
  </w:style>
  <w:style w:type="paragraph" w:styleId="1CStyle9">
    <w:name w:val="1CStyle9"/>
    <w:basedOn w:val="Normal"/>
    <w:pPr>
      <w:wordWrap w:val="1"/>
      <w:jc w:val="center"/>
      <w:rPr/>
    </w:pPr>
  </w:style>
  <w:style w:type="paragraph" w:styleId="1CStyle8">
    <w:name w:val="1CStyle8"/>
    <w:basedOn w:val="Normal"/>
    <w:pPr>
      <w:wordWrap w:val="1"/>
      <w:jc w:val="center"/>
      <w:rPr/>
    </w:pPr>
  </w:style>
  <w:style w:type="paragraph" w:styleId="1CStyle10">
    <w:name w:val="1CStyle10"/>
    <w:basedOn w:val="Normal"/>
    <w:pPr>
      <w:wordWrap w:val="1"/>
      <w:jc w:val="center"/>
      <w:rPr/>
    </w:pPr>
  </w:style>
  <w:style w:type="paragraph" w:styleId="1CStyle14">
    <w:name w:val="1CStyle14"/>
    <w:basedOn w:val="Normal"/>
    <w:pPr>
      <w:wordWrap w:val="1"/>
      <w:jc w:val="center"/>
      <w:rPr/>
    </w:pPr>
  </w:style>
  <w:style w:type="paragraph" w:styleId="1CStyle13">
    <w:name w:val="1CStyle13"/>
    <w:basedOn w:val="Normal"/>
    <w:pPr>
      <w:wordWrap w:val="1"/>
      <w:jc w:val="center"/>
      <w:rPr/>
    </w:pPr>
  </w:style>
  <w:style w:type="paragraph" w:styleId="1CStyle15">
    <w:name w:val="1CStyle15"/>
    <w:basedOn w:val="Normal"/>
    <w:pPr>
      <w:wordWrap w:val="1"/>
      <w:jc w:val="center"/>
      <w:rPr/>
    </w:pPr>
  </w:style>
  <w:style w:type="paragraph" w:styleId="1CStyle11">
    <w:name w:val="1CStyle11"/>
    <w:basedOn w:val="Normal"/>
    <w:pPr>
      <w:wordWrap w:val="1"/>
      <w:jc w:val="center"/>
      <w:rPr/>
    </w:pPr>
  </w:style>
  <w:style w:type="paragraph" w:styleId="1CStyle5">
    <w:name w:val="1CStyle5"/>
    <w:basedOn w:val="Normal"/>
    <w:pPr>
      <w:wordWrap w:val="1"/>
      <w:jc w:val="center"/>
      <w:rPr/>
    </w:pPr>
  </w:style>
  <w:style w:type="paragraph" w:styleId="1CStyle12">
    <w:name w:val="1CStyle12"/>
    <w:basedOn w:val="Normal"/>
    <w:pPr>
      <w:wordWrap w:val="1"/>
      <w:jc w:val="right"/>
      <w:rPr/>
    </w:pPr>
  </w:style>
  <w:style w:type="paragraph" w:styleId="1CStyle2">
    <w:name w:val="1CStyle2"/>
    <w:basedOn w:val="Normal"/>
    <w:pPr>
      <w:wordWrap w:val="1"/>
      <w:jc w:val="center"/>
      <w:rPr/>
    </w:pPr>
  </w:style>
  <w:style w:type="paragraph" w:styleId="1CStyle7">
    <w:name w:val="1CStyle7"/>
    <w:basedOn w:val="Normal"/>
    <w:pPr>
      <w:wordWrap w:val="1"/>
      <w:jc w:val="right"/>
      <w:rPr/>
    </w:pPr>
  </w:style>
  <w:style w:type="paragraph" w:styleId="1CStyle1">
    <w:name w:val="1CStyle1"/>
    <w:basedOn w:val="Normal"/>
    <w:pPr>
      <w:wordWrap w:val="1"/>
      <w:jc w:val="center"/>
      <w:rPr/>
    </w:pPr>
  </w:style>
  <w:style w:type="paragraph" w:styleId="1CStyle18">
    <w:name w:val="1CStyle18"/>
    <w:basedOn w:val="Normal"/>
    <w:pPr>
      <w:wordWrap w:val="1"/>
      <w:jc w:val="right"/>
      <w:rPr/>
    </w:pPr>
  </w:style>
  <w:style w:type="paragraph" w:styleId="1CStyle4">
    <w:name w:val="1CStyle4"/>
    <w:basedOn w:val="Normal"/>
    <w:pPr>
      <w:wordWrap w:val="1"/>
      <w:jc w:val="center"/>
      <w:rPr/>
    </w:pPr>
  </w:style>
  <w:style w:type="paragraph" w:styleId="1CStyle3">
    <w:name w:val="1CStyle3"/>
    <w:basedOn w:val="Normal"/>
    <w:pPr>
      <w:wordWrap w:val="1"/>
      <w:jc w:val="center"/>
      <w:rPr/>
    </w:pPr>
  </w:style>
  <w:style w:type="paragraph" w:styleId="1CStyle16">
    <w:name w:val="1CStyle16"/>
    <w:basedOn w:val="Normal"/>
    <w:pPr>
      <w:wordWrap w:val="1"/>
      <w:jc w:val="center"/>
      <w:rPr/>
    </w:pPr>
  </w:style>
  <w:style w:type="paragraph" w:styleId="1CStyle17">
    <w:name w:val="1CStyle17"/>
    <w:basedOn w:val="Normal"/>
    <w:pPr>
      <w:wordWrap w:val="1"/>
      <w:jc w:val="right"/>
      <w:rPr/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