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E0A" w:rsidRDefault="00B85E0A" w:rsidP="00B85E0A">
      <w:pPr>
        <w:pStyle w:val="a4"/>
        <w:rPr>
          <w:rFonts w:ascii="Helvetica" w:hAnsi="Helvetica" w:cs="Helvetica"/>
        </w:rPr>
      </w:pPr>
      <w:r>
        <w:rPr>
          <w:rStyle w:val="a5"/>
          <w:rFonts w:ascii="Helvetica" w:hAnsi="Helvetica" w:cs="Helvetica"/>
        </w:rPr>
        <w:t>ВС РФ напомнил апелляции, когда при досрочной выплате кредита возвращается стоимость страховки</w:t>
      </w:r>
    </w:p>
    <w:p w:rsidR="00B85E0A" w:rsidRDefault="00B85E0A" w:rsidP="00B85E0A">
      <w:pPr>
        <w:pStyle w:val="a4"/>
        <w:jc w:val="both"/>
        <w:rPr>
          <w:rFonts w:ascii="Helvetica" w:hAnsi="Helvetica" w:cs="Helvetica"/>
        </w:rPr>
      </w:pPr>
      <w:r>
        <w:rPr>
          <w:rFonts w:ascii="Helvetica" w:hAnsi="Helvetica" w:cs="Helvetica"/>
        </w:rPr>
        <w:t xml:space="preserve">Гражданин досрочно погасил кредит на автомобиль и решил вернуть часть страховой премии. Первая инстанция </w:t>
      </w:r>
      <w:hyperlink r:id="rId4" w:tooltip="«Решением Центрального районного суда г. Волгограда от 26 января 2018 г. исковые требования Соболева Р.А. удовлетворены частично. С ООО СК &quot;ВТБ Страхование&quot; в пользу Соболева Р.А. взысканы часть страховой премии в сумме 65 243,30 руб., неустойка в размере" w:history="1">
        <w:r>
          <w:rPr>
            <w:rStyle w:val="a3"/>
            <w:rFonts w:ascii="Helvetica" w:hAnsi="Helvetica" w:cs="Helvetica"/>
          </w:rPr>
          <w:t>присудила</w:t>
        </w:r>
      </w:hyperlink>
      <w:r>
        <w:rPr>
          <w:rFonts w:ascii="Helvetica" w:hAnsi="Helvetica" w:cs="Helvetica"/>
        </w:rPr>
        <w:t xml:space="preserve"> ему деньги, а апелляция это решение </w:t>
      </w:r>
      <w:hyperlink r:id="rId5" w:tooltip="«Апелляционным определением судебной коллегии по гражданским делам Волгоградского областного суда от 25 апреля 2018 г. решение Центрального районного суда г. Волгограда от 26 января 2018 г. отменено. По делу постановлено новое решение, которым в удовлетво" w:history="1">
        <w:r>
          <w:rPr>
            <w:rStyle w:val="a3"/>
            <w:rFonts w:ascii="Helvetica" w:hAnsi="Helvetica" w:cs="Helvetica"/>
          </w:rPr>
          <w:t>отменила</w:t>
        </w:r>
      </w:hyperlink>
      <w:r>
        <w:rPr>
          <w:rFonts w:ascii="Helvetica" w:hAnsi="Helvetica" w:cs="Helvetica"/>
        </w:rPr>
        <w:t>. Дело дошло до ВС РФ, который поддержал первую инстанцию.</w:t>
      </w:r>
    </w:p>
    <w:p w:rsidR="00B85E0A" w:rsidRDefault="00B85E0A" w:rsidP="00B85E0A">
      <w:pPr>
        <w:pStyle w:val="a4"/>
        <w:jc w:val="both"/>
        <w:rPr>
          <w:rFonts w:ascii="Helvetica" w:hAnsi="Helvetica" w:cs="Helvetica"/>
        </w:rPr>
      </w:pPr>
      <w:r>
        <w:rPr>
          <w:rFonts w:ascii="Helvetica" w:hAnsi="Helvetica" w:cs="Helvetica"/>
        </w:rPr>
        <w:t xml:space="preserve">Решение о возврате части страховой премии зависит от условий договора. Если выплата возмещения не обусловлена долгом по кредиту, деньги </w:t>
      </w:r>
      <w:hyperlink r:id="rId6" w:tooltip="«В тех же случаях, когда выплата страхового возмещения по договору страхования имущественных интересов заемщика не обусловлена наличием долга по кредиту, а именно договор предусматривает страховое возмещение в определенном размере при наступлении указанны" w:history="1">
        <w:r>
          <w:rPr>
            <w:rStyle w:val="a3"/>
            <w:rFonts w:ascii="Helvetica" w:hAnsi="Helvetica" w:cs="Helvetica"/>
          </w:rPr>
          <w:t>не вернут</w:t>
        </w:r>
      </w:hyperlink>
      <w:r>
        <w:rPr>
          <w:rFonts w:ascii="Helvetica" w:hAnsi="Helvetica" w:cs="Helvetica"/>
        </w:rPr>
        <w:t xml:space="preserve">. Если страховое возмещение равно остатку долга по кредиту или производно от него, деньги за страховку при досрочном погашении </w:t>
      </w:r>
      <w:hyperlink r:id="rId7" w:tooltip="«Таким образом, если по условиям договора страхования имущественных интересов заемщика обязательным условием выплаты страхового возмещения является наличие долга по кредитному договору, в частности когда страховое возмещение равно остатку долга по кредиту" w:history="1">
        <w:r>
          <w:rPr>
            <w:rStyle w:val="a3"/>
            <w:rFonts w:ascii="Helvetica" w:hAnsi="Helvetica" w:cs="Helvetica"/>
          </w:rPr>
          <w:t>возвращаются</w:t>
        </w:r>
      </w:hyperlink>
      <w:r>
        <w:rPr>
          <w:rFonts w:ascii="Helvetica" w:hAnsi="Helvetica" w:cs="Helvetica"/>
        </w:rPr>
        <w:t>.</w:t>
      </w:r>
    </w:p>
    <w:p w:rsidR="00B85E0A" w:rsidRDefault="00B85E0A" w:rsidP="00B85E0A">
      <w:pPr>
        <w:pStyle w:val="a4"/>
        <w:jc w:val="both"/>
        <w:rPr>
          <w:rFonts w:ascii="Helvetica" w:hAnsi="Helvetica" w:cs="Helvetica"/>
        </w:rPr>
      </w:pPr>
      <w:r>
        <w:rPr>
          <w:rFonts w:ascii="Helvetica" w:hAnsi="Helvetica" w:cs="Helvetica"/>
        </w:rPr>
        <w:t xml:space="preserve">В данном случае первая инстанция </w:t>
      </w:r>
      <w:hyperlink r:id="rId8" w:tooltip="«Суд первой инстанции такое толкование дал, указав, что при досрочном погашении кредита и отсутствии долга по нему страховая сумма равна нулю и страховое возмещение выплате не подлежит, а следовательно, договор страхования прекратился...»&#10;Определение Суде" w:history="1">
        <w:r>
          <w:rPr>
            <w:rStyle w:val="a3"/>
            <w:rFonts w:ascii="Helvetica" w:hAnsi="Helvetica" w:cs="Helvetica"/>
          </w:rPr>
          <w:t>выяснила</w:t>
        </w:r>
      </w:hyperlink>
      <w:r>
        <w:rPr>
          <w:rFonts w:ascii="Helvetica" w:hAnsi="Helvetica" w:cs="Helvetica"/>
        </w:rPr>
        <w:t>, что при отсутствии долга по кредиту страховая сумма была равна нулю и страховое возмещение не должно было выплачиваться. Следовательно, договор страхования прекратился и часть премии необходимо было вернуть.</w:t>
      </w:r>
    </w:p>
    <w:p w:rsidR="00B85E0A" w:rsidRDefault="00B85E0A" w:rsidP="00B85E0A">
      <w:pPr>
        <w:pStyle w:val="a4"/>
        <w:jc w:val="both"/>
        <w:rPr>
          <w:rFonts w:ascii="Helvetica" w:hAnsi="Helvetica" w:cs="Helvetica"/>
        </w:rPr>
      </w:pPr>
      <w:r>
        <w:rPr>
          <w:rFonts w:ascii="Helvetica" w:hAnsi="Helvetica" w:cs="Helvetica"/>
        </w:rPr>
        <w:t xml:space="preserve">Отметим, ВС РФ </w:t>
      </w:r>
      <w:hyperlink r:id="rId9" w:tooltip="ВС РФ объяснил, когда досрочная выплата кредита не основание возвращать стоимость страховки&#10;«ВС РФ объяснил, когда досрочная выплата кредита не основание возвращать стоимость страховки...»&#10;&quot;КонсультантПлюс: Новости для юриста с 1 по 5 октября 2018 года&quot;" w:history="1">
        <w:r>
          <w:rPr>
            <w:rStyle w:val="a3"/>
            <w:rFonts w:ascii="Helvetica" w:hAnsi="Helvetica" w:cs="Helvetica"/>
          </w:rPr>
          <w:t>уже делал</w:t>
        </w:r>
      </w:hyperlink>
      <w:r>
        <w:rPr>
          <w:rFonts w:ascii="Helvetica" w:hAnsi="Helvetica" w:cs="Helvetica"/>
        </w:rPr>
        <w:t xml:space="preserve"> такие выводы.</w:t>
      </w:r>
    </w:p>
    <w:p w:rsidR="00D90959" w:rsidRPr="00D90959" w:rsidRDefault="00B85E0A" w:rsidP="00B85E0A">
      <w:pPr>
        <w:ind w:firstLine="567"/>
        <w:jc w:val="both"/>
        <w:rPr>
          <w:sz w:val="28"/>
          <w:szCs w:val="28"/>
        </w:rPr>
      </w:pPr>
      <w:r>
        <w:rPr>
          <w:rFonts w:ascii="Helvetica" w:hAnsi="Helvetica" w:cs="Helvetica"/>
          <w:i/>
          <w:iCs/>
        </w:rPr>
        <w:t xml:space="preserve">Документ: </w:t>
      </w:r>
      <w:hyperlink r:id="rId10" w:tooltip="«Судебная коллегия по гражданским делам Верховного Суда Российской Федерации находит, что судом апелляционной инстанции допущены существенные нарушения норм материального права, повлекшие неправильное разрешение спора...»&#10;Определение Судебной коллегии по " w:history="1">
        <w:r>
          <w:rPr>
            <w:rStyle w:val="a3"/>
            <w:rFonts w:ascii="Helvetica" w:hAnsi="Helvetica" w:cs="Helvetica"/>
            <w:i/>
            <w:iCs/>
          </w:rPr>
          <w:t>Определение</w:t>
        </w:r>
      </w:hyperlink>
      <w:r>
        <w:rPr>
          <w:rFonts w:ascii="Helvetica" w:hAnsi="Helvetica" w:cs="Helvetica"/>
          <w:i/>
          <w:iCs/>
        </w:rPr>
        <w:t xml:space="preserve"> ВС РФ от 05.03.2019 N 16-КГ18-55</w:t>
      </w:r>
    </w:p>
    <w:sectPr w:rsidR="00D90959" w:rsidRPr="00D90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41"/>
    <w:rsid w:val="00011789"/>
    <w:rsid w:val="001C753D"/>
    <w:rsid w:val="001C7B9B"/>
    <w:rsid w:val="003D3C03"/>
    <w:rsid w:val="00636200"/>
    <w:rsid w:val="00742D41"/>
    <w:rsid w:val="0076438B"/>
    <w:rsid w:val="008E3C81"/>
    <w:rsid w:val="009B7AB0"/>
    <w:rsid w:val="00A17BA2"/>
    <w:rsid w:val="00AC21C6"/>
    <w:rsid w:val="00B00012"/>
    <w:rsid w:val="00B85E0A"/>
    <w:rsid w:val="00D90959"/>
    <w:rsid w:val="00E86070"/>
    <w:rsid w:val="00FE2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79579-30FE-4041-A524-350117F9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E0A"/>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5E0A"/>
    <w:rPr>
      <w:color w:val="666699"/>
      <w:u w:val="single"/>
    </w:rPr>
  </w:style>
  <w:style w:type="paragraph" w:styleId="a4">
    <w:name w:val="Normal (Web)"/>
    <w:basedOn w:val="a"/>
    <w:uiPriority w:val="99"/>
    <w:semiHidden/>
    <w:unhideWhenUsed/>
    <w:rsid w:val="00B85E0A"/>
    <w:pPr>
      <w:spacing w:before="100" w:beforeAutospacing="1" w:after="100" w:afterAutospacing="1"/>
    </w:pPr>
  </w:style>
  <w:style w:type="character" w:styleId="a5">
    <w:name w:val="Strong"/>
    <w:basedOn w:val="a0"/>
    <w:uiPriority w:val="22"/>
    <w:qFormat/>
    <w:rsid w:val="00B85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758432">
      <w:bodyDiv w:val="1"/>
      <w:marLeft w:val="0"/>
      <w:marRight w:val="0"/>
      <w:marTop w:val="0"/>
      <w:marBottom w:val="0"/>
      <w:divBdr>
        <w:top w:val="none" w:sz="0" w:space="0" w:color="auto"/>
        <w:left w:val="none" w:sz="0" w:space="0" w:color="auto"/>
        <w:bottom w:val="none" w:sz="0" w:space="0" w:color="auto"/>
        <w:right w:val="none" w:sz="0" w:space="0" w:color="auto"/>
      </w:divBdr>
    </w:div>
    <w:div w:id="190914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abinet/stat/nw/2019-04-25/click/consultant/?dst=http%3A%2F%2Fwww.consultant.ru%2Fcons%2Fcgi%2Fonline.cgi%3Freq%3Ddoc%3Bbase%3DARB%3Bn%3D576441%3Bdst%3D100052%23utm_campaign%3Dnw%26utm_source%3Dconsultant%26utm_medium%3Demail%26utm_content%3Dbody" TargetMode="External"/><Relationship Id="rId3" Type="http://schemas.openxmlformats.org/officeDocument/2006/relationships/webSettings" Target="webSettings.xml"/><Relationship Id="rId7" Type="http://schemas.openxmlformats.org/officeDocument/2006/relationships/hyperlink" Target="http://www.consultant.ru/cabinet/stat/nw/2019-04-25/click/consultant/?dst=http%3A%2F%2Fwww.consultant.ru%2Fcons%2Fcgi%2Fonline.cgi%3Freq%3Ddoc%3Bbase%3DARB%3Bn%3D576441%3Bdst%3D100037%23utm_campaign%3Dnw%26utm_source%3Dconsultant%26utm_medium%3Demail%26utm_content%3Dbod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cabinet/stat/nw/2019-04-25/click/consultant/?dst=http%3A%2F%2Fwww.consultant.ru%2Fcons%2Fcgi%2Fonline.cgi%3Freq%3Ddoc%3Bbase%3DARB%3Bn%3D576441%3Bdst%3D100038%23utm_campaign%3Dnw%26utm_source%3Dconsultant%26utm_medium%3Demail%26utm_content%3Dbody" TargetMode="External"/><Relationship Id="rId11" Type="http://schemas.openxmlformats.org/officeDocument/2006/relationships/fontTable" Target="fontTable.xml"/><Relationship Id="rId5" Type="http://schemas.openxmlformats.org/officeDocument/2006/relationships/hyperlink" Target="http://www.consultant.ru/cabinet/stat/nw/2019-04-25/click/consultant/?dst=http%3A%2F%2Fwww.consultant.ru%2Fcons%2Fcgi%2Fonline.cgi%3Freq%3Ddoc%3Bbase%3DARB%3Bn%3D576441%3Bdst%3D100015%23utm_campaign%3Dnw%26utm_source%3Dconsultant%26utm_medium%3Demail%26utm_content%3Dbody" TargetMode="External"/><Relationship Id="rId10" Type="http://schemas.openxmlformats.org/officeDocument/2006/relationships/hyperlink" Target="http://www.consultant.ru/cabinet/stat/nw/2019-04-25/click/consultant/?dst=http%3A%2F%2Fwww.consultant.ru%2Fcons%2Fcgi%2Fonline.cgi%3Freq%3Ddoc%3Bbase%3DARB%3Bn%3D576441%3Bdst%3D100029%23utm_campaign%3Dnw%26utm_source%3Dconsultant%26utm_medium%3Demail%26utm_content%3Dbody" TargetMode="External"/><Relationship Id="rId4" Type="http://schemas.openxmlformats.org/officeDocument/2006/relationships/hyperlink" Target="http://www.consultant.ru/cabinet/stat/nw/2019-04-25/click/consultant/?dst=http%3A%2F%2Fwww.consultant.ru%2Fcons%2Fcgi%2Fonline.cgi%3Freq%3Ddoc%3Bbase%3DARB%3Bn%3D576441%3Bdst%3D100014%23utm_campaign%3Dnw%26utm_source%3Dconsultant%26utm_medium%3Demail%26utm_content%3Dbody" TargetMode="External"/><Relationship Id="rId9" Type="http://schemas.openxmlformats.org/officeDocument/2006/relationships/hyperlink" Target="http://www.consultant.ru/cabinet/stat/nw/2019-04-25/click/consultant/?dst=http%3A%2F%2Fwww.consultant.ru%2Fcons%2Fcgi%2Fonline.cgi%3Freq%3Ddoc%3Bbase%3DCJI%3Bn%3D116541%3Bdst%3D100024%23utm_campaign%3Dnw%26utm_source%3Dconsultant%26utm_medium%3Demail%26utm_content%3Dbo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716</Words>
  <Characters>4083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2018-04-09T06:06:00Z</dcterms:created>
  <dcterms:modified xsi:type="dcterms:W3CDTF">2019-04-04T07:20:00Z</dcterms:modified>
</cp:coreProperties>
</file>